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130C03">
      <w:pPr>
        <w:pStyle w:val="7"/>
      </w:pPr>
      <w:r>
        <w:rPr>
          <w:rFonts w:hint="eastAsia"/>
        </w:rPr>
        <w:t>医用</w:t>
      </w:r>
      <w:r>
        <w:rPr>
          <w:rFonts w:hint="eastAsia"/>
          <w:lang w:val="en-US" w:eastAsia="zh-CN"/>
        </w:rPr>
        <w:t>敷贴</w:t>
      </w:r>
      <w:r>
        <w:rPr>
          <w:rFonts w:hint="eastAsia"/>
        </w:rPr>
        <w:t>耗材类物资采购项目需求书</w:t>
      </w:r>
    </w:p>
    <w:p w14:paraId="2EAC938F">
      <w:pPr>
        <w:spacing w:line="360" w:lineRule="auto"/>
        <w:ind w:firstLine="482" w:firstLineChars="200"/>
        <w:rPr>
          <w:rFonts w:ascii="Times New Roman" w:hAnsi="Times New Roman" w:cs="Times New Roman"/>
          <w:b/>
          <w:sz w:val="24"/>
          <w:szCs w:val="24"/>
        </w:rPr>
      </w:pPr>
      <w:r>
        <w:rPr>
          <w:rFonts w:hint="eastAsia" w:ascii="Times New Roman" w:hAnsi="Times New Roman" w:cs="Times New Roman"/>
          <w:b/>
          <w:sz w:val="24"/>
          <w:szCs w:val="24"/>
        </w:rPr>
        <w:t>一、项目背景</w:t>
      </w:r>
    </w:p>
    <w:p w14:paraId="7EAD012C">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天津中医药大学第二附属医院位于河北区增产道69号，是我市《卫生健康事业发展“十二五”规划》和我市重点建设项目。医院以建设特色鲜明、水平一流、环境优美的现代化综合性医院为目标，打造了集医疗、预防、教学、科研于一体的综合性三级甲等中医院，为天津市三个中医医疗中心之一，天津市九个区域医疗中心之一，医疗辐射能力逐年增强。本项目为医院医用敷贴耗材类物资采购项目，支持节能减排、环境保护以及创新产品。</w:t>
      </w:r>
    </w:p>
    <w:p w14:paraId="0C333C47">
      <w:pPr>
        <w:spacing w:line="360" w:lineRule="auto"/>
        <w:ind w:firstLine="482" w:firstLineChars="200"/>
        <w:rPr>
          <w:rFonts w:ascii="Times New Roman" w:hAnsi="Times New Roman" w:cs="Times New Roman"/>
          <w:b/>
          <w:sz w:val="24"/>
          <w:szCs w:val="24"/>
        </w:rPr>
      </w:pPr>
      <w:r>
        <w:rPr>
          <w:rFonts w:hint="eastAsia" w:ascii="Times New Roman" w:hAnsi="Times New Roman" w:cs="Times New Roman"/>
          <w:b/>
          <w:sz w:val="24"/>
          <w:szCs w:val="24"/>
        </w:rPr>
        <w:t>二、项目预算</w:t>
      </w:r>
    </w:p>
    <w:p w14:paraId="7C300C7F">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150</w:t>
      </w:r>
      <w:r>
        <w:rPr>
          <w:rFonts w:hint="eastAsia" w:ascii="Times New Roman" w:hAnsi="Times New Roman" w:cs="Times New Roman"/>
          <w:sz w:val="24"/>
          <w:szCs w:val="24"/>
        </w:rPr>
        <w:t>万元。</w:t>
      </w:r>
    </w:p>
    <w:p w14:paraId="6817DC80">
      <w:pPr>
        <w:spacing w:line="360" w:lineRule="auto"/>
        <w:ind w:firstLine="482" w:firstLineChars="200"/>
        <w:rPr>
          <w:rFonts w:ascii="Times New Roman" w:hAnsi="Times New Roman" w:cs="Times New Roman"/>
          <w:b/>
          <w:sz w:val="24"/>
          <w:szCs w:val="24"/>
        </w:rPr>
      </w:pPr>
      <w:r>
        <w:rPr>
          <w:rFonts w:hint="eastAsia" w:ascii="Times New Roman" w:hAnsi="Times New Roman" w:cs="Times New Roman"/>
          <w:b/>
          <w:sz w:val="24"/>
          <w:szCs w:val="24"/>
        </w:rPr>
        <w:t>三、资格要求</w:t>
      </w:r>
    </w:p>
    <w:p w14:paraId="4DE47B71">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1、投标人需具备《中华人民共和国政府采购法》第二十二条第一款规定的资质要求，包括：</w:t>
      </w:r>
    </w:p>
    <w:p w14:paraId="221F6C6E">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（1）营业执照副本或事业单位法人证书或民办非企业单位登记证书或社会团体法人登记证书或基金会法人登记证书，自然人的身份证明。</w:t>
      </w:r>
    </w:p>
    <w:p w14:paraId="12553BFF">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（2）投标人具有良好的商业信誉和健全的财务</w:t>
      </w:r>
      <w:r>
        <w:fldChar w:fldCharType="begin"/>
      </w:r>
      <w:r>
        <w:instrText xml:space="preserve"> HYPERLINK "http://www.chinaacc.com/" \t "_blank" </w:instrText>
      </w:r>
      <w:r>
        <w:fldChar w:fldCharType="separate"/>
      </w:r>
      <w:r>
        <w:rPr>
          <w:rFonts w:hint="eastAsia" w:ascii="Times New Roman" w:hAnsi="Times New Roman" w:cs="Times New Roman"/>
          <w:sz w:val="24"/>
          <w:szCs w:val="24"/>
        </w:rPr>
        <w:t>会计</w:t>
      </w:r>
      <w:r>
        <w:rPr>
          <w:rFonts w:hint="eastAsia" w:ascii="Times New Roman" w:hAnsi="Times New Roman" w:cs="Times New Roman"/>
          <w:sz w:val="24"/>
          <w:szCs w:val="24"/>
        </w:rPr>
        <w:fldChar w:fldCharType="end"/>
      </w:r>
      <w:r>
        <w:rPr>
          <w:rFonts w:hint="eastAsia" w:ascii="Times New Roman" w:hAnsi="Times New Roman" w:cs="Times New Roman"/>
          <w:sz w:val="24"/>
          <w:szCs w:val="24"/>
        </w:rPr>
        <w:t>制度，提供202</w:t>
      </w:r>
      <w:r>
        <w:rPr>
          <w:rFonts w:hint="eastAsia" w:ascii="Times New Roman" w:hAnsi="Times New Roman" w:cs="Times New Roman"/>
          <w:sz w:val="24"/>
          <w:szCs w:val="24"/>
          <w:lang w:val="en-US" w:eastAsia="zh-CN"/>
        </w:rPr>
        <w:t>5</w:t>
      </w:r>
      <w:r>
        <w:rPr>
          <w:rFonts w:hint="eastAsia" w:ascii="Times New Roman" w:hAnsi="Times New Roman" w:cs="Times New Roman"/>
          <w:sz w:val="24"/>
          <w:szCs w:val="24"/>
        </w:rPr>
        <w:t>年度经第三方会计师事务所审计的企业财务报告或202</w:t>
      </w:r>
      <w:r>
        <w:rPr>
          <w:rFonts w:hint="eastAsia" w:ascii="Times New Roman" w:hAnsi="Times New Roman" w:cs="Times New Roman"/>
          <w:sz w:val="24"/>
          <w:szCs w:val="24"/>
          <w:lang w:val="en-US" w:eastAsia="zh-CN"/>
        </w:rPr>
        <w:t>6</w:t>
      </w:r>
      <w:r>
        <w:rPr>
          <w:rFonts w:hint="eastAsia" w:ascii="Times New Roman" w:hAnsi="Times New Roman" w:cs="Times New Roman"/>
          <w:sz w:val="24"/>
          <w:szCs w:val="24"/>
        </w:rPr>
        <w:t>年银行出具的资信证明。</w:t>
      </w:r>
    </w:p>
    <w:p w14:paraId="1A5061EA">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（3）投标人具有依法缴纳税收和社会保障资金的良好记录，提供202</w:t>
      </w:r>
      <w:r>
        <w:rPr>
          <w:rFonts w:hint="eastAsia" w:ascii="Times New Roman" w:hAnsi="Times New Roman" w:cs="Times New Roman"/>
          <w:sz w:val="24"/>
          <w:szCs w:val="24"/>
          <w:lang w:val="en-US" w:eastAsia="zh-CN"/>
        </w:rPr>
        <w:t>6</w:t>
      </w:r>
      <w:r>
        <w:rPr>
          <w:rFonts w:hint="eastAsia" w:ascii="Times New Roman" w:hAnsi="Times New Roman" w:cs="Times New Roman"/>
          <w:sz w:val="24"/>
          <w:szCs w:val="24"/>
        </w:rPr>
        <w:t>年至投标截止时间至少1个月的相关证明材料；依法免税或不需要缴纳社会保障资金的投标人，应提供相应文件证明其依法免税（税务机关出具）或不需要缴纳社会保障资金（社会保险基金管理部门出具）。</w:t>
      </w:r>
    </w:p>
    <w:p w14:paraId="3A8E9D01">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（4）投标人参加政府采购活动前三年内，在经营活动中没有重大违法记录，并出具承诺函。（截至开标日成立不足3年的投标人可提供自成立以来无重大违法记录的书面声明）</w:t>
      </w:r>
    </w:p>
    <w:p w14:paraId="173E8593">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2、本项目</w:t>
      </w:r>
      <w:r>
        <w:rPr>
          <w:rFonts w:hint="eastAsia" w:ascii="Times New Roman" w:hAnsi="Times New Roman" w:cs="Times New Roman"/>
          <w:sz w:val="24"/>
          <w:szCs w:val="24"/>
          <w:u w:val="single"/>
        </w:rPr>
        <w:t>不接受</w:t>
      </w:r>
      <w:r>
        <w:rPr>
          <w:rFonts w:hint="eastAsia" w:ascii="Times New Roman" w:hAnsi="Times New Roman" w:cs="Times New Roman"/>
          <w:sz w:val="24"/>
          <w:szCs w:val="24"/>
        </w:rPr>
        <w:t>联合体投标。</w:t>
      </w:r>
    </w:p>
    <w:p w14:paraId="5A2100E8">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3、本项目不可转包、分包。</w:t>
      </w:r>
    </w:p>
    <w:p w14:paraId="7B211837">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4、本项目</w:t>
      </w:r>
      <w:r>
        <w:rPr>
          <w:rFonts w:hint="eastAsia" w:ascii="Times New Roman" w:hAnsi="Times New Roman" w:cs="Times New Roman"/>
          <w:sz w:val="24"/>
          <w:szCs w:val="24"/>
          <w:u w:val="single"/>
        </w:rPr>
        <w:t>专门</w:t>
      </w:r>
      <w:r>
        <w:rPr>
          <w:rFonts w:hint="eastAsia" w:ascii="Times New Roman" w:hAnsi="Times New Roman" w:cs="Times New Roman"/>
          <w:sz w:val="24"/>
          <w:szCs w:val="24"/>
        </w:rPr>
        <w:t>面向中小企业采购。注：中小微企业以投标人填写的《中小企业声明函》为判定标准。</w:t>
      </w:r>
    </w:p>
    <w:p w14:paraId="508E804F">
      <w:pPr>
        <w:spacing w:line="360" w:lineRule="auto"/>
        <w:ind w:firstLine="480" w:firstLineChars="200"/>
        <w:rPr>
          <w:rFonts w:ascii="Times New Roman" w:hAnsi="Times New Roman" w:cs="Times New Roman"/>
          <w:sz w:val="24"/>
          <w:szCs w:val="24"/>
        </w:rPr>
      </w:pPr>
    </w:p>
    <w:p w14:paraId="51C8E737">
      <w:pPr>
        <w:spacing w:line="360" w:lineRule="auto"/>
        <w:ind w:firstLine="482" w:firstLineChars="200"/>
        <w:rPr>
          <w:rFonts w:ascii="Times New Roman" w:hAnsi="Times New Roman" w:cs="Times New Roman"/>
          <w:b/>
          <w:sz w:val="24"/>
          <w:szCs w:val="24"/>
        </w:rPr>
      </w:pPr>
      <w:r>
        <w:rPr>
          <w:rFonts w:hint="eastAsia" w:ascii="Times New Roman" w:hAnsi="Times New Roman" w:cs="Times New Roman"/>
          <w:b/>
          <w:sz w:val="24"/>
          <w:szCs w:val="24"/>
        </w:rPr>
        <w:t>四、服务期</w:t>
      </w:r>
    </w:p>
    <w:p w14:paraId="26E8F364">
      <w:pPr>
        <w:pStyle w:val="17"/>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签订合同之日起一年的服务期，若在服务期内预算执行完毕，则服务期提前结束（特殊情况以合同为准）。</w:t>
      </w:r>
    </w:p>
    <w:p w14:paraId="0116D0C9">
      <w:pPr>
        <w:spacing w:line="360" w:lineRule="auto"/>
        <w:ind w:firstLine="482" w:firstLineChars="200"/>
        <w:rPr>
          <w:rFonts w:ascii="Times New Roman" w:hAnsi="Times New Roman" w:cs="Times New Roman"/>
          <w:b/>
          <w:sz w:val="24"/>
          <w:szCs w:val="24"/>
        </w:rPr>
      </w:pPr>
      <w:r>
        <w:rPr>
          <w:rFonts w:hint="eastAsia" w:ascii="Times New Roman" w:hAnsi="Times New Roman" w:cs="Times New Roman"/>
          <w:b/>
          <w:sz w:val="24"/>
          <w:szCs w:val="24"/>
        </w:rPr>
        <w:t>五、服务地点</w:t>
      </w:r>
    </w:p>
    <w:p w14:paraId="467A4BF2">
      <w:pPr>
        <w:spacing w:line="360" w:lineRule="auto"/>
        <w:ind w:firstLine="480" w:firstLineChars="200"/>
        <w:rPr>
          <w:sz w:val="24"/>
        </w:rPr>
      </w:pPr>
      <w:r>
        <w:rPr>
          <w:rFonts w:hint="eastAsia"/>
          <w:sz w:val="24"/>
        </w:rPr>
        <w:t>天津市河北区增产道69号天津中医药大学第二附属医院（特殊情况以合同为准）。</w:t>
      </w:r>
    </w:p>
    <w:p w14:paraId="53B0AB43">
      <w:pPr>
        <w:spacing w:line="360" w:lineRule="auto"/>
        <w:ind w:firstLine="482" w:firstLineChars="200"/>
        <w:rPr>
          <w:rFonts w:ascii="Times New Roman" w:hAnsi="Times New Roman" w:cs="Times New Roman"/>
          <w:b/>
          <w:sz w:val="24"/>
          <w:szCs w:val="24"/>
        </w:rPr>
      </w:pPr>
      <w:r>
        <w:rPr>
          <w:rFonts w:hint="eastAsia" w:ascii="Times New Roman" w:hAnsi="Times New Roman" w:cs="Times New Roman"/>
          <w:b/>
          <w:sz w:val="24"/>
          <w:szCs w:val="24"/>
        </w:rPr>
        <w:t>六、付款方式</w:t>
      </w:r>
    </w:p>
    <w:p w14:paraId="154E55D7">
      <w:pPr>
        <w:pStyle w:val="17"/>
        <w:spacing w:line="360" w:lineRule="auto"/>
        <w:ind w:firstLine="480" w:firstLineChars="200"/>
        <w:jc w:val="both"/>
        <w:rPr>
          <w:rFonts w:ascii="Times New Roman" w:hAnsi="Times New Roman" w:eastAsia="宋体" w:cs="Times New Roman"/>
          <w:color w:val="auto"/>
        </w:rPr>
      </w:pPr>
      <w:r>
        <w:rPr>
          <w:rFonts w:hint="eastAsia"/>
          <w:bCs/>
          <w:color w:val="auto"/>
        </w:rPr>
        <w:t>本项目付款采用按月结算方式，</w:t>
      </w:r>
      <w:r>
        <w:rPr>
          <w:rFonts w:hint="eastAsia"/>
          <w:color w:val="auto"/>
        </w:rPr>
        <w:t>按采购人要求的数量、时间完成配送，采购人完成验收合格后</w:t>
      </w:r>
      <w:r>
        <w:rPr>
          <w:rFonts w:hint="eastAsia" w:ascii="宋体" w:hAnsi="宋体" w:eastAsia="宋体" w:cs="宋体"/>
          <w:color w:val="auto"/>
        </w:rPr>
        <w:t>30</w:t>
      </w:r>
      <w:r>
        <w:rPr>
          <w:rFonts w:hint="eastAsia"/>
          <w:color w:val="auto"/>
        </w:rPr>
        <w:t>天内一次性支付当次费用，服务期内不得超出本项目预算</w:t>
      </w:r>
      <w:r>
        <w:rPr>
          <w:color w:val="auto"/>
        </w:rPr>
        <w:t>（特殊情况以合同为准）。</w:t>
      </w:r>
    </w:p>
    <w:p w14:paraId="367E0330">
      <w:pPr>
        <w:spacing w:line="360" w:lineRule="auto"/>
        <w:ind w:firstLine="482" w:firstLineChars="200"/>
        <w:rPr>
          <w:b/>
          <w:sz w:val="24"/>
        </w:rPr>
      </w:pPr>
      <w:r>
        <w:rPr>
          <w:rFonts w:hint="eastAsia"/>
          <w:b/>
          <w:sz w:val="24"/>
        </w:rPr>
        <w:t>七、技术要求</w:t>
      </w:r>
    </w:p>
    <w:p w14:paraId="2D36E30C">
      <w:pPr>
        <w:spacing w:line="360" w:lineRule="auto"/>
        <w:ind w:firstLine="480" w:firstLineChars="200"/>
        <w:rPr>
          <w:bCs/>
          <w:sz w:val="24"/>
        </w:rPr>
      </w:pPr>
      <w:r>
        <w:rPr>
          <w:rFonts w:hint="eastAsia"/>
          <w:bCs/>
          <w:sz w:val="24"/>
        </w:rPr>
        <w:t>本招标项目评审规则采用综合评分法，最终以评分最高的投标单位作为中标单位，与其签订</w:t>
      </w:r>
      <w:r>
        <w:rPr>
          <w:rFonts w:hint="eastAsia"/>
          <w:bCs/>
          <w:sz w:val="24"/>
          <w:lang w:val="en-US" w:eastAsia="zh-CN"/>
        </w:rPr>
        <w:t>采购合同</w:t>
      </w:r>
      <w:r>
        <w:rPr>
          <w:rFonts w:hint="eastAsia"/>
          <w:bCs/>
          <w:sz w:val="24"/>
        </w:rPr>
        <w:t>。</w:t>
      </w:r>
    </w:p>
    <w:p w14:paraId="003CEE14">
      <w:pPr>
        <w:spacing w:line="360" w:lineRule="auto"/>
        <w:ind w:firstLine="480" w:firstLineChars="200"/>
        <w:rPr>
          <w:bCs/>
          <w:sz w:val="24"/>
        </w:rPr>
      </w:pPr>
      <w:r>
        <w:rPr>
          <w:rFonts w:hint="eastAsia"/>
          <w:bCs/>
          <w:sz w:val="24"/>
        </w:rPr>
        <w:t>本项目采购货物为医用</w:t>
      </w:r>
      <w:r>
        <w:rPr>
          <w:rFonts w:hint="eastAsia" w:ascii="Times New Roman" w:hAnsi="Times New Roman" w:cs="Times New Roman"/>
          <w:sz w:val="24"/>
          <w:szCs w:val="24"/>
        </w:rPr>
        <w:t>敷贴耗材</w:t>
      </w:r>
      <w:r>
        <w:rPr>
          <w:rFonts w:hint="eastAsia"/>
          <w:bCs/>
          <w:sz w:val="24"/>
        </w:rPr>
        <w:t>，采购货物</w:t>
      </w:r>
      <w:r>
        <w:rPr>
          <w:rFonts w:hint="eastAsia"/>
          <w:bCs/>
          <w:sz w:val="24"/>
          <w:lang w:val="en-US" w:eastAsia="zh-CN"/>
        </w:rPr>
        <w:t>及规格参数要求见下表</w:t>
      </w:r>
      <w:r>
        <w:rPr>
          <w:rFonts w:hint="eastAsia"/>
          <w:bCs/>
          <w:sz w:val="24"/>
        </w:rPr>
        <w:t>。</w:t>
      </w:r>
    </w:p>
    <w:tbl>
      <w:tblPr>
        <w:tblStyle w:val="8"/>
        <w:tblW w:w="525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3"/>
        <w:gridCol w:w="1488"/>
        <w:gridCol w:w="2337"/>
        <w:gridCol w:w="702"/>
        <w:gridCol w:w="880"/>
        <w:gridCol w:w="1221"/>
        <w:gridCol w:w="1110"/>
        <w:gridCol w:w="1434"/>
      </w:tblGrid>
      <w:tr w14:paraId="17321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255" w:type="pct"/>
            <w:vAlign w:val="center"/>
          </w:tcPr>
          <w:p w14:paraId="6772AA36">
            <w:pPr>
              <w:widowControl/>
              <w:spacing w:line="0" w:lineRule="atLeast"/>
              <w:jc w:val="center"/>
              <w:rPr>
                <w:rFonts w:ascii="宋体" w:hAnsi="宋体"/>
                <w:b/>
                <w:bCs/>
                <w:kern w:val="0"/>
                <w:sz w:val="24"/>
                <w:szCs w:val="24"/>
              </w:rPr>
            </w:pPr>
            <w:r>
              <w:rPr>
                <w:rFonts w:hint="eastAsia" w:ascii="宋体" w:hAnsi="宋体" w:eastAsia="宋体" w:cs="宋体"/>
                <w:b/>
                <w:bCs/>
                <w:kern w:val="0"/>
                <w:sz w:val="24"/>
                <w:szCs w:val="24"/>
              </w:rPr>
              <w:t>序号</w:t>
            </w:r>
          </w:p>
        </w:tc>
        <w:tc>
          <w:tcPr>
            <w:tcW w:w="769" w:type="pct"/>
            <w:vAlign w:val="center"/>
          </w:tcPr>
          <w:p w14:paraId="34F8D014">
            <w:pPr>
              <w:widowControl/>
              <w:spacing w:line="0" w:lineRule="atLeast"/>
              <w:jc w:val="center"/>
              <w:rPr>
                <w:rFonts w:ascii="宋体" w:hAnsi="宋体"/>
                <w:b/>
                <w:bCs/>
                <w:kern w:val="0"/>
                <w:sz w:val="24"/>
                <w:szCs w:val="24"/>
              </w:rPr>
            </w:pPr>
            <w:r>
              <w:rPr>
                <w:rFonts w:hint="eastAsia" w:ascii="宋体" w:hAnsi="宋体" w:eastAsia="宋体" w:cs="宋体"/>
                <w:b/>
                <w:bCs/>
                <w:kern w:val="0"/>
                <w:sz w:val="24"/>
                <w:szCs w:val="24"/>
              </w:rPr>
              <w:t>标的名称</w:t>
            </w:r>
          </w:p>
        </w:tc>
        <w:tc>
          <w:tcPr>
            <w:tcW w:w="1208" w:type="pct"/>
            <w:vAlign w:val="center"/>
          </w:tcPr>
          <w:p w14:paraId="48536FC6">
            <w:pPr>
              <w:widowControl/>
              <w:spacing w:line="0" w:lineRule="atLeast"/>
              <w:jc w:val="center"/>
              <w:rPr>
                <w:rFonts w:ascii="宋体" w:hAnsi="宋体"/>
                <w:b/>
                <w:bCs/>
                <w:kern w:val="0"/>
                <w:sz w:val="24"/>
                <w:szCs w:val="24"/>
              </w:rPr>
            </w:pPr>
            <w:r>
              <w:rPr>
                <w:rFonts w:hint="eastAsia" w:ascii="宋体" w:hAnsi="宋体" w:eastAsia="宋体" w:cs="宋体"/>
                <w:b/>
                <w:bCs/>
                <w:kern w:val="0"/>
                <w:sz w:val="24"/>
                <w:szCs w:val="24"/>
              </w:rPr>
              <w:t>技术要求</w:t>
            </w:r>
          </w:p>
        </w:tc>
        <w:tc>
          <w:tcPr>
            <w:tcW w:w="363" w:type="pct"/>
            <w:vAlign w:val="center"/>
          </w:tcPr>
          <w:p w14:paraId="43F3D6F8">
            <w:pPr>
              <w:widowControl/>
              <w:spacing w:line="0" w:lineRule="atLeast"/>
              <w:jc w:val="center"/>
              <w:rPr>
                <w:rFonts w:ascii="宋体" w:hAnsi="宋体"/>
                <w:b/>
                <w:bCs/>
                <w:kern w:val="0"/>
                <w:sz w:val="24"/>
                <w:szCs w:val="24"/>
              </w:rPr>
            </w:pPr>
            <w:r>
              <w:rPr>
                <w:rFonts w:hint="eastAsia" w:ascii="宋体" w:hAnsi="宋体" w:eastAsia="宋体" w:cs="宋体"/>
                <w:b/>
                <w:bCs/>
                <w:kern w:val="0"/>
                <w:sz w:val="24"/>
                <w:szCs w:val="24"/>
              </w:rPr>
              <w:t>单位</w:t>
            </w:r>
          </w:p>
        </w:tc>
        <w:tc>
          <w:tcPr>
            <w:tcW w:w="455" w:type="pct"/>
            <w:vAlign w:val="center"/>
          </w:tcPr>
          <w:p w14:paraId="7C8AD257">
            <w:pPr>
              <w:widowControl/>
              <w:spacing w:line="0" w:lineRule="atLeast"/>
              <w:jc w:val="center"/>
              <w:rPr>
                <w:rFonts w:ascii="宋体" w:hAnsi="宋体"/>
                <w:b/>
                <w:bCs/>
                <w:kern w:val="0"/>
                <w:sz w:val="24"/>
                <w:szCs w:val="24"/>
              </w:rPr>
            </w:pPr>
            <w:r>
              <w:rPr>
                <w:rFonts w:hint="eastAsia" w:ascii="宋体" w:hAnsi="宋体" w:eastAsia="宋体" w:cs="宋体"/>
                <w:b/>
                <w:bCs/>
                <w:kern w:val="0"/>
                <w:sz w:val="24"/>
                <w:szCs w:val="24"/>
              </w:rPr>
              <w:t>数量</w:t>
            </w:r>
          </w:p>
        </w:tc>
        <w:tc>
          <w:tcPr>
            <w:tcW w:w="631" w:type="pct"/>
            <w:vAlign w:val="center"/>
          </w:tcPr>
          <w:p w14:paraId="74B4432C">
            <w:pPr>
              <w:jc w:val="center"/>
              <w:rPr>
                <w:rFonts w:ascii="宋体" w:hAnsi="宋体"/>
                <w:b/>
                <w:bCs/>
                <w:kern w:val="0"/>
                <w:sz w:val="24"/>
                <w:szCs w:val="24"/>
              </w:rPr>
            </w:pPr>
            <w:r>
              <w:rPr>
                <w:rFonts w:ascii="Calibri" w:hAnsi="Calibri" w:eastAsia="宋体" w:cs="Times New Roman"/>
                <w:b/>
                <w:bCs/>
                <w:szCs w:val="21"/>
              </w:rPr>
              <w:t>是否属于现行节能产品政府采购清单强制采购范围</w:t>
            </w:r>
          </w:p>
        </w:tc>
        <w:tc>
          <w:tcPr>
            <w:tcW w:w="574" w:type="pct"/>
            <w:vAlign w:val="center"/>
          </w:tcPr>
          <w:p w14:paraId="4281DAA8">
            <w:pPr>
              <w:jc w:val="center"/>
              <w:rPr>
                <w:rFonts w:ascii="宋体" w:hAnsi="宋体"/>
                <w:b/>
                <w:bCs/>
                <w:kern w:val="0"/>
                <w:sz w:val="24"/>
                <w:szCs w:val="24"/>
              </w:rPr>
            </w:pPr>
            <w:r>
              <w:rPr>
                <w:rFonts w:ascii="Calibri" w:hAnsi="Calibri" w:eastAsia="宋体" w:cs="Times New Roman"/>
                <w:b/>
                <w:bCs/>
                <w:szCs w:val="21"/>
              </w:rPr>
              <w:t>是否属于集采目录内产品</w:t>
            </w:r>
          </w:p>
        </w:tc>
        <w:tc>
          <w:tcPr>
            <w:tcW w:w="741" w:type="pct"/>
            <w:vAlign w:val="center"/>
          </w:tcPr>
          <w:p w14:paraId="6B38CFAC">
            <w:pPr>
              <w:jc w:val="center"/>
              <w:rPr>
                <w:rFonts w:hint="default" w:ascii="Calibri" w:hAnsi="Calibri" w:eastAsia="宋体" w:cs="Times New Roman"/>
                <w:b/>
                <w:bCs/>
                <w:szCs w:val="21"/>
                <w:lang w:val="en-US" w:eastAsia="zh-CN"/>
              </w:rPr>
            </w:pPr>
            <w:r>
              <w:rPr>
                <w:rFonts w:hint="eastAsia" w:ascii="Calibri" w:hAnsi="Calibri" w:eastAsia="宋体" w:cs="Times New Roman"/>
                <w:b/>
                <w:bCs/>
                <w:szCs w:val="21"/>
                <w:lang w:val="en-US" w:eastAsia="zh-CN"/>
              </w:rPr>
              <w:t>单项最高限价</w:t>
            </w:r>
          </w:p>
        </w:tc>
      </w:tr>
      <w:tr w14:paraId="27B82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 w:type="pct"/>
            <w:vAlign w:val="center"/>
          </w:tcPr>
          <w:p w14:paraId="58E55364">
            <w:pPr>
              <w:spacing w:line="0" w:lineRule="atLeast"/>
              <w:jc w:val="center"/>
              <w:rPr>
                <w:rFonts w:ascii="宋体" w:hAnsi="宋体" w:cs="Times New Roman"/>
                <w:bCs/>
                <w:sz w:val="24"/>
                <w:szCs w:val="24"/>
              </w:rPr>
            </w:pPr>
            <w:r>
              <w:rPr>
                <w:rFonts w:hint="eastAsia" w:ascii="宋体" w:hAnsi="宋体" w:eastAsia="宋体" w:cs="Times New Roman"/>
                <w:bCs/>
                <w:sz w:val="24"/>
                <w:szCs w:val="24"/>
              </w:rPr>
              <w:t>1</w:t>
            </w:r>
          </w:p>
        </w:tc>
        <w:tc>
          <w:tcPr>
            <w:tcW w:w="769" w:type="pct"/>
            <w:vAlign w:val="center"/>
          </w:tcPr>
          <w:p w14:paraId="70BCF9DE">
            <w:pPr>
              <w:widowControl/>
              <w:jc w:val="center"/>
              <w:textAlignment w:val="top"/>
              <w:rPr>
                <w:rFonts w:ascii="宋体" w:hAnsi="宋体"/>
                <w:kern w:val="0"/>
                <w:sz w:val="24"/>
                <w:szCs w:val="24"/>
              </w:rPr>
            </w:pPr>
            <w:r>
              <w:rPr>
                <w:rFonts w:ascii="宋体" w:hAnsi="宋体" w:eastAsia="宋体" w:cs="宋体"/>
                <w:kern w:val="0"/>
                <w:sz w:val="24"/>
                <w:szCs w:val="24"/>
              </w:rPr>
              <w:t>聚氨酯胶涂膜卷材</w:t>
            </w:r>
          </w:p>
        </w:tc>
        <w:tc>
          <w:tcPr>
            <w:tcW w:w="1208" w:type="pct"/>
            <w:vAlign w:val="center"/>
          </w:tcPr>
          <w:p w14:paraId="1CCAB1FC">
            <w:pPr>
              <w:widowControl/>
              <w:jc w:val="center"/>
              <w:textAlignment w:val="top"/>
              <w:rPr>
                <w:rFonts w:ascii="宋体" w:hAnsi="宋体" w:cs="Times New Roman"/>
                <w:bCs/>
                <w:sz w:val="24"/>
                <w:szCs w:val="24"/>
              </w:rPr>
            </w:pPr>
            <w:r>
              <w:rPr>
                <w:rFonts w:ascii="宋体" w:hAnsi="宋体" w:eastAsia="宋体" w:cs="Times New Roman"/>
                <w:bCs/>
                <w:sz w:val="24"/>
                <w:szCs w:val="24"/>
              </w:rPr>
              <w:t>1、外观</w:t>
            </w:r>
          </w:p>
          <w:p w14:paraId="271ADF99">
            <w:pPr>
              <w:widowControl/>
              <w:jc w:val="center"/>
              <w:textAlignment w:val="top"/>
              <w:rPr>
                <w:rFonts w:ascii="宋体" w:hAnsi="宋体" w:cs="Times New Roman"/>
                <w:bCs/>
                <w:sz w:val="24"/>
                <w:szCs w:val="24"/>
              </w:rPr>
            </w:pPr>
            <w:r>
              <w:rPr>
                <w:rFonts w:ascii="宋体" w:hAnsi="宋体" w:eastAsia="宋体" w:cs="Times New Roman"/>
                <w:bCs/>
                <w:sz w:val="24"/>
                <w:szCs w:val="24"/>
              </w:rPr>
              <w:t>聚氨酯膜涂胶卷材外观色泽均匀，无可见异物。</w:t>
            </w:r>
          </w:p>
          <w:p w14:paraId="4D00BC42">
            <w:pPr>
              <w:widowControl/>
              <w:jc w:val="center"/>
              <w:textAlignment w:val="top"/>
              <w:rPr>
                <w:rFonts w:ascii="宋体" w:hAnsi="宋体" w:cs="Times New Roman"/>
                <w:bCs/>
                <w:sz w:val="24"/>
                <w:szCs w:val="24"/>
              </w:rPr>
            </w:pPr>
            <w:r>
              <w:rPr>
                <w:rFonts w:ascii="宋体" w:hAnsi="宋体" w:eastAsia="宋体" w:cs="Times New Roman"/>
                <w:bCs/>
                <w:sz w:val="24"/>
                <w:szCs w:val="24"/>
              </w:rPr>
              <w:t>2、 尺寸</w:t>
            </w:r>
          </w:p>
          <w:p w14:paraId="30431B5A">
            <w:pPr>
              <w:widowControl/>
              <w:jc w:val="center"/>
              <w:textAlignment w:val="top"/>
              <w:rPr>
                <w:rFonts w:ascii="宋体" w:hAnsi="宋体" w:cs="Times New Roman"/>
                <w:bCs/>
                <w:sz w:val="24"/>
                <w:szCs w:val="24"/>
              </w:rPr>
            </w:pPr>
            <w:r>
              <w:rPr>
                <w:rFonts w:ascii="宋体" w:hAnsi="宋体" w:eastAsia="宋体" w:cs="Times New Roman"/>
                <w:bCs/>
                <w:sz w:val="24"/>
                <w:szCs w:val="24"/>
              </w:rPr>
              <w:t xml:space="preserve">   产品尺寸应符合要求，尺寸偏差为±5%。</w:t>
            </w:r>
          </w:p>
          <w:p w14:paraId="197D0A57">
            <w:pPr>
              <w:widowControl/>
              <w:jc w:val="center"/>
              <w:textAlignment w:val="top"/>
              <w:rPr>
                <w:rFonts w:ascii="宋体" w:hAnsi="宋体" w:cs="Times New Roman"/>
                <w:bCs/>
                <w:sz w:val="24"/>
                <w:szCs w:val="24"/>
              </w:rPr>
            </w:pPr>
            <w:r>
              <w:rPr>
                <w:rFonts w:ascii="宋体" w:hAnsi="宋体" w:eastAsia="宋体" w:cs="Times New Roman"/>
                <w:bCs/>
                <w:sz w:val="24"/>
                <w:szCs w:val="24"/>
              </w:rPr>
              <w:t>3、持粘性</w:t>
            </w:r>
          </w:p>
          <w:p w14:paraId="6D025962">
            <w:pPr>
              <w:widowControl/>
              <w:jc w:val="center"/>
              <w:textAlignment w:val="top"/>
              <w:rPr>
                <w:rFonts w:ascii="宋体" w:hAnsi="宋体" w:cs="Times New Roman"/>
                <w:bCs/>
                <w:sz w:val="24"/>
                <w:szCs w:val="24"/>
              </w:rPr>
            </w:pPr>
            <w:r>
              <w:rPr>
                <w:rFonts w:ascii="宋体" w:hAnsi="宋体" w:eastAsia="宋体" w:cs="Times New Roman"/>
                <w:bCs/>
                <w:sz w:val="24"/>
                <w:szCs w:val="24"/>
              </w:rPr>
              <w:t>聚氨酯膜涂胶卷材的持粘性应不大于2.5mm。</w:t>
            </w:r>
          </w:p>
          <w:p w14:paraId="0E2C0422">
            <w:pPr>
              <w:widowControl/>
              <w:jc w:val="center"/>
              <w:textAlignment w:val="top"/>
              <w:rPr>
                <w:rFonts w:ascii="宋体" w:hAnsi="宋体" w:cs="Times New Roman"/>
                <w:bCs/>
                <w:sz w:val="24"/>
                <w:szCs w:val="24"/>
              </w:rPr>
            </w:pPr>
            <w:r>
              <w:rPr>
                <w:rFonts w:ascii="宋体" w:hAnsi="宋体" w:eastAsia="宋体" w:cs="Times New Roman"/>
                <w:bCs/>
                <w:sz w:val="24"/>
                <w:szCs w:val="24"/>
              </w:rPr>
              <w:t>4、剥离强度</w:t>
            </w:r>
          </w:p>
          <w:p w14:paraId="49A745D2">
            <w:pPr>
              <w:widowControl/>
              <w:jc w:val="center"/>
              <w:textAlignment w:val="top"/>
              <w:rPr>
                <w:rFonts w:ascii="宋体" w:hAnsi="宋体" w:cs="Times New Roman"/>
                <w:bCs/>
                <w:sz w:val="24"/>
                <w:szCs w:val="24"/>
              </w:rPr>
            </w:pPr>
            <w:r>
              <w:rPr>
                <w:rFonts w:ascii="宋体" w:hAnsi="宋体" w:eastAsia="宋体" w:cs="Times New Roman"/>
                <w:bCs/>
                <w:sz w:val="24"/>
                <w:szCs w:val="24"/>
              </w:rPr>
              <w:t>粘胶层的剥离强度应不小于0.1N/cm</w:t>
            </w:r>
          </w:p>
          <w:p w14:paraId="312E6F58">
            <w:pPr>
              <w:widowControl/>
              <w:jc w:val="center"/>
              <w:textAlignment w:val="top"/>
              <w:rPr>
                <w:rFonts w:ascii="宋体" w:hAnsi="宋体" w:cs="Times New Roman"/>
                <w:bCs/>
                <w:sz w:val="24"/>
                <w:szCs w:val="24"/>
              </w:rPr>
            </w:pPr>
            <w:r>
              <w:rPr>
                <w:rFonts w:ascii="宋体" w:hAnsi="宋体" w:eastAsia="宋体" w:cs="Times New Roman"/>
                <w:bCs/>
                <w:sz w:val="24"/>
                <w:szCs w:val="24"/>
              </w:rPr>
              <w:t>5、阻水性</w:t>
            </w:r>
          </w:p>
          <w:p w14:paraId="5D724594">
            <w:pPr>
              <w:widowControl/>
              <w:jc w:val="center"/>
              <w:textAlignment w:val="top"/>
              <w:rPr>
                <w:rFonts w:ascii="宋体" w:hAnsi="宋体" w:cs="Times New Roman"/>
                <w:bCs/>
                <w:sz w:val="24"/>
                <w:szCs w:val="24"/>
              </w:rPr>
            </w:pPr>
            <w:r>
              <w:rPr>
                <w:rFonts w:ascii="宋体" w:hAnsi="宋体" w:eastAsia="宋体" w:cs="Times New Roman"/>
                <w:bCs/>
                <w:sz w:val="24"/>
                <w:szCs w:val="24"/>
              </w:rPr>
              <w:t xml:space="preserve">   聚氨酯膜涂胶卷材能承受500mm静水压300s的能力。</w:t>
            </w:r>
          </w:p>
          <w:p w14:paraId="03E42AF7">
            <w:pPr>
              <w:widowControl/>
              <w:jc w:val="center"/>
              <w:textAlignment w:val="top"/>
              <w:rPr>
                <w:rFonts w:ascii="宋体" w:hAnsi="宋体" w:cs="Times New Roman"/>
                <w:bCs/>
                <w:sz w:val="24"/>
                <w:szCs w:val="24"/>
              </w:rPr>
            </w:pPr>
            <w:r>
              <w:rPr>
                <w:rFonts w:ascii="宋体" w:hAnsi="宋体" w:eastAsia="宋体" w:cs="Times New Roman"/>
                <w:bCs/>
                <w:sz w:val="24"/>
                <w:szCs w:val="24"/>
              </w:rPr>
              <w:t>6、水蒸气透过性</w:t>
            </w:r>
          </w:p>
          <w:p w14:paraId="6351044B">
            <w:pPr>
              <w:widowControl/>
              <w:jc w:val="center"/>
              <w:textAlignment w:val="top"/>
              <w:rPr>
                <w:rFonts w:ascii="宋体" w:hAnsi="宋体" w:cs="Times New Roman"/>
                <w:bCs/>
                <w:sz w:val="24"/>
                <w:szCs w:val="24"/>
              </w:rPr>
            </w:pPr>
            <w:r>
              <w:rPr>
                <w:rFonts w:ascii="宋体" w:hAnsi="宋体" w:eastAsia="宋体" w:cs="Times New Roman"/>
                <w:bCs/>
                <w:sz w:val="24"/>
                <w:szCs w:val="24"/>
              </w:rPr>
              <w:t xml:space="preserve">   聚氨酯膜涂胶卷材每24h的水蒸气渗透应不小于500g/m2。</w:t>
            </w:r>
          </w:p>
        </w:tc>
        <w:tc>
          <w:tcPr>
            <w:tcW w:w="363" w:type="pct"/>
            <w:vAlign w:val="center"/>
          </w:tcPr>
          <w:p w14:paraId="361EA4C9">
            <w:pPr>
              <w:widowControl/>
              <w:jc w:val="center"/>
              <w:textAlignment w:val="center"/>
              <w:rPr>
                <w:rFonts w:ascii="宋体" w:hAnsi="宋体"/>
                <w:color w:val="000000"/>
                <w:kern w:val="0"/>
                <w:sz w:val="24"/>
                <w:szCs w:val="24"/>
              </w:rPr>
            </w:pPr>
            <w:r>
              <w:rPr>
                <w:rFonts w:ascii="宋体" w:hAnsi="宋体" w:eastAsia="宋体" w:cs="宋体"/>
                <w:color w:val="000000"/>
                <w:kern w:val="0"/>
                <w:sz w:val="24"/>
                <w:szCs w:val="24"/>
              </w:rPr>
              <w:t>平米</w:t>
            </w:r>
          </w:p>
        </w:tc>
        <w:tc>
          <w:tcPr>
            <w:tcW w:w="455" w:type="pct"/>
            <w:vAlign w:val="center"/>
          </w:tcPr>
          <w:p w14:paraId="50A4904E">
            <w:pPr>
              <w:widowControl/>
              <w:jc w:val="center"/>
              <w:textAlignment w:val="center"/>
              <w:rPr>
                <w:rFonts w:ascii="宋体" w:hAnsi="宋体"/>
                <w:color w:val="000000"/>
                <w:kern w:val="0"/>
                <w:sz w:val="24"/>
                <w:szCs w:val="24"/>
              </w:rPr>
            </w:pPr>
            <w:r>
              <w:rPr>
                <w:rFonts w:hint="eastAsia" w:ascii="宋体" w:hAnsi="宋体"/>
                <w:color w:val="000000"/>
                <w:kern w:val="0"/>
                <w:sz w:val="24"/>
                <w:szCs w:val="24"/>
              </w:rPr>
              <w:t>3</w:t>
            </w:r>
            <w:r>
              <w:rPr>
                <w:rFonts w:ascii="宋体" w:hAnsi="宋体"/>
                <w:color w:val="000000"/>
                <w:kern w:val="0"/>
                <w:sz w:val="24"/>
                <w:szCs w:val="24"/>
              </w:rPr>
              <w:t>5000</w:t>
            </w:r>
          </w:p>
        </w:tc>
        <w:tc>
          <w:tcPr>
            <w:tcW w:w="631" w:type="pct"/>
            <w:vAlign w:val="center"/>
          </w:tcPr>
          <w:p w14:paraId="5440DFA5">
            <w:pPr>
              <w:widowControl/>
              <w:jc w:val="center"/>
              <w:textAlignment w:val="center"/>
              <w:rPr>
                <w:rFonts w:ascii="宋体" w:hAnsi="宋体"/>
                <w:color w:val="000000"/>
                <w:kern w:val="0"/>
                <w:sz w:val="24"/>
                <w:szCs w:val="24"/>
              </w:rPr>
            </w:pPr>
            <w:r>
              <w:rPr>
                <w:rFonts w:hint="eastAsia" w:ascii="宋体" w:hAnsi="宋体" w:eastAsia="宋体" w:cs="宋体"/>
                <w:color w:val="000000"/>
                <w:kern w:val="0"/>
                <w:sz w:val="24"/>
                <w:szCs w:val="24"/>
              </w:rPr>
              <w:t>否</w:t>
            </w:r>
          </w:p>
        </w:tc>
        <w:tc>
          <w:tcPr>
            <w:tcW w:w="574" w:type="pct"/>
            <w:vAlign w:val="center"/>
          </w:tcPr>
          <w:p w14:paraId="57D09894">
            <w:pPr>
              <w:widowControl/>
              <w:jc w:val="center"/>
              <w:textAlignment w:val="center"/>
              <w:rPr>
                <w:rFonts w:ascii="宋体" w:hAnsi="宋体"/>
                <w:color w:val="000000"/>
                <w:kern w:val="0"/>
                <w:sz w:val="24"/>
                <w:szCs w:val="24"/>
              </w:rPr>
            </w:pPr>
            <w:r>
              <w:rPr>
                <w:rFonts w:hint="eastAsia" w:ascii="宋体" w:hAnsi="宋体" w:eastAsia="宋体" w:cs="宋体"/>
                <w:color w:val="000000"/>
                <w:kern w:val="0"/>
                <w:sz w:val="24"/>
                <w:szCs w:val="24"/>
              </w:rPr>
              <w:t>否</w:t>
            </w:r>
          </w:p>
        </w:tc>
        <w:tc>
          <w:tcPr>
            <w:tcW w:w="741" w:type="pct"/>
            <w:vAlign w:val="center"/>
          </w:tcPr>
          <w:p w14:paraId="3EBFEFFC">
            <w:pPr>
              <w:widowControl/>
              <w:jc w:val="center"/>
              <w:textAlignment w:val="center"/>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38元/平米</w:t>
            </w:r>
          </w:p>
        </w:tc>
      </w:tr>
      <w:tr w14:paraId="40563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 w:type="pct"/>
            <w:vAlign w:val="center"/>
          </w:tcPr>
          <w:p w14:paraId="05BE8549">
            <w:pPr>
              <w:spacing w:line="0" w:lineRule="atLeast"/>
              <w:jc w:val="center"/>
              <w:rPr>
                <w:rFonts w:ascii="宋体" w:hAnsi="宋体" w:cs="Times New Roman"/>
                <w:bCs/>
                <w:sz w:val="24"/>
                <w:szCs w:val="24"/>
              </w:rPr>
            </w:pPr>
            <w:r>
              <w:rPr>
                <w:rFonts w:hint="eastAsia" w:ascii="宋体" w:hAnsi="宋体" w:eastAsia="宋体" w:cs="Times New Roman"/>
                <w:bCs/>
                <w:sz w:val="24"/>
                <w:szCs w:val="24"/>
              </w:rPr>
              <w:t>2</w:t>
            </w:r>
          </w:p>
        </w:tc>
        <w:tc>
          <w:tcPr>
            <w:tcW w:w="769" w:type="pct"/>
            <w:vAlign w:val="center"/>
          </w:tcPr>
          <w:p w14:paraId="790BF272">
            <w:pPr>
              <w:widowControl/>
              <w:textAlignment w:val="top"/>
              <w:rPr>
                <w:rFonts w:ascii="宋体" w:hAnsi="宋体"/>
                <w:kern w:val="0"/>
                <w:sz w:val="24"/>
                <w:szCs w:val="24"/>
              </w:rPr>
            </w:pPr>
            <w:r>
              <w:rPr>
                <w:rFonts w:hint="eastAsia" w:ascii="宋体" w:hAnsi="宋体" w:eastAsia="宋体" w:cs="宋体"/>
                <w:kern w:val="0"/>
                <w:sz w:val="24"/>
                <w:szCs w:val="24"/>
              </w:rPr>
              <w:t>低粘托底膜</w:t>
            </w:r>
          </w:p>
        </w:tc>
        <w:tc>
          <w:tcPr>
            <w:tcW w:w="1208" w:type="pct"/>
            <w:vAlign w:val="center"/>
          </w:tcPr>
          <w:p w14:paraId="5A60F0B4">
            <w:pPr>
              <w:widowControl/>
              <w:textAlignment w:val="top"/>
              <w:rPr>
                <w:rFonts w:ascii="宋体" w:hAnsi="宋体" w:cs="Times New Roman"/>
                <w:bCs/>
                <w:sz w:val="24"/>
                <w:szCs w:val="24"/>
              </w:rPr>
            </w:pPr>
            <w:r>
              <w:rPr>
                <w:rFonts w:ascii="宋体" w:hAnsi="宋体" w:eastAsia="宋体" w:cs="Times New Roman"/>
                <w:bCs/>
                <w:sz w:val="24"/>
                <w:szCs w:val="24"/>
              </w:rPr>
              <w:t>一、外观要求</w:t>
            </w:r>
          </w:p>
          <w:p w14:paraId="53FF1BCE">
            <w:pPr>
              <w:widowControl/>
              <w:textAlignment w:val="top"/>
              <w:rPr>
                <w:rFonts w:ascii="宋体" w:hAnsi="宋体" w:cs="Times New Roman"/>
                <w:bCs/>
                <w:sz w:val="24"/>
                <w:szCs w:val="24"/>
              </w:rPr>
            </w:pPr>
            <w:r>
              <w:rPr>
                <w:rFonts w:ascii="宋体" w:hAnsi="宋体" w:eastAsia="宋体" w:cs="Times New Roman"/>
                <w:bCs/>
                <w:sz w:val="24"/>
                <w:szCs w:val="24"/>
              </w:rPr>
              <w:t>表面无褶皱、划痕、脏点、异物</w:t>
            </w:r>
            <w:r>
              <w:rPr>
                <w:rFonts w:hint="eastAsia" w:ascii="宋体" w:hAnsi="宋体" w:eastAsia="宋体" w:cs="Times New Roman"/>
                <w:bCs/>
                <w:sz w:val="24"/>
                <w:szCs w:val="24"/>
              </w:rPr>
              <w:t>；</w:t>
            </w:r>
          </w:p>
          <w:p w14:paraId="7CDA95AF">
            <w:pPr>
              <w:widowControl/>
              <w:textAlignment w:val="top"/>
              <w:rPr>
                <w:rFonts w:ascii="宋体" w:hAnsi="宋体" w:cs="Times New Roman"/>
                <w:bCs/>
                <w:sz w:val="24"/>
                <w:szCs w:val="24"/>
              </w:rPr>
            </w:pPr>
            <w:r>
              <w:rPr>
                <w:rFonts w:ascii="宋体" w:hAnsi="宋体" w:eastAsia="宋体" w:cs="Times New Roman"/>
                <w:bCs/>
                <w:sz w:val="24"/>
                <w:szCs w:val="24"/>
              </w:rPr>
              <w:t>端面平整、无毛刺、无缺胶</w:t>
            </w:r>
            <w:r>
              <w:rPr>
                <w:rFonts w:hint="eastAsia" w:ascii="宋体" w:hAnsi="宋体" w:eastAsia="宋体" w:cs="Times New Roman"/>
                <w:bCs/>
                <w:sz w:val="24"/>
                <w:szCs w:val="24"/>
              </w:rPr>
              <w:t>；</w:t>
            </w:r>
          </w:p>
          <w:p w14:paraId="68AD5155">
            <w:pPr>
              <w:widowControl/>
              <w:textAlignment w:val="top"/>
              <w:rPr>
                <w:rFonts w:ascii="宋体" w:hAnsi="宋体" w:cs="Times New Roman"/>
                <w:bCs/>
                <w:sz w:val="24"/>
                <w:szCs w:val="24"/>
              </w:rPr>
            </w:pPr>
            <w:r>
              <w:rPr>
                <w:rFonts w:ascii="宋体" w:hAnsi="宋体" w:eastAsia="宋体" w:cs="Times New Roman"/>
                <w:bCs/>
                <w:sz w:val="24"/>
                <w:szCs w:val="24"/>
              </w:rPr>
              <w:t>颜色均匀，无明显色差、色变</w:t>
            </w:r>
            <w:r>
              <w:rPr>
                <w:rFonts w:hint="eastAsia" w:ascii="宋体" w:hAnsi="宋体" w:eastAsia="宋体" w:cs="Times New Roman"/>
                <w:bCs/>
                <w:sz w:val="24"/>
                <w:szCs w:val="24"/>
              </w:rPr>
              <w:t>；</w:t>
            </w:r>
          </w:p>
          <w:p w14:paraId="5C162655">
            <w:pPr>
              <w:widowControl/>
              <w:textAlignment w:val="top"/>
              <w:rPr>
                <w:rFonts w:ascii="宋体" w:hAnsi="宋体" w:cs="Times New Roman"/>
                <w:bCs/>
                <w:sz w:val="24"/>
                <w:szCs w:val="24"/>
              </w:rPr>
            </w:pPr>
          </w:p>
          <w:p w14:paraId="58C97FC4">
            <w:pPr>
              <w:widowControl/>
              <w:textAlignment w:val="top"/>
              <w:rPr>
                <w:rFonts w:ascii="宋体" w:hAnsi="宋体" w:cs="Times New Roman"/>
                <w:bCs/>
                <w:sz w:val="24"/>
                <w:szCs w:val="24"/>
              </w:rPr>
            </w:pPr>
            <w:r>
              <w:rPr>
                <w:rFonts w:ascii="宋体" w:hAnsi="宋体" w:eastAsia="宋体" w:cs="Times New Roman"/>
                <w:bCs/>
                <w:sz w:val="24"/>
                <w:szCs w:val="24"/>
              </w:rPr>
              <w:t>二、尺寸与厚度精度</w:t>
            </w:r>
          </w:p>
          <w:p w14:paraId="453769D4">
            <w:pPr>
              <w:widowControl/>
              <w:textAlignment w:val="top"/>
              <w:rPr>
                <w:rFonts w:ascii="宋体" w:hAnsi="宋体" w:cs="Times New Roman"/>
                <w:bCs/>
                <w:sz w:val="24"/>
                <w:szCs w:val="24"/>
              </w:rPr>
            </w:pPr>
            <w:r>
              <w:rPr>
                <w:rFonts w:ascii="宋体" w:hAnsi="宋体" w:eastAsia="宋体" w:cs="Times New Roman"/>
                <w:bCs/>
                <w:sz w:val="24"/>
                <w:szCs w:val="24"/>
              </w:rPr>
              <w:t>厚度：</w:t>
            </w:r>
            <w:r>
              <w:rPr>
                <w:rFonts w:hint="eastAsia" w:ascii="宋体" w:hAnsi="宋体" w:eastAsia="宋体" w:cs="Times New Roman"/>
                <w:bCs/>
                <w:sz w:val="24"/>
                <w:szCs w:val="24"/>
              </w:rPr>
              <w:t>80u</w:t>
            </w:r>
            <w:r>
              <w:rPr>
                <w:rFonts w:ascii="宋体" w:hAnsi="宋体" w:eastAsia="宋体" w:cs="Times New Roman"/>
                <w:bCs/>
                <w:sz w:val="24"/>
                <w:szCs w:val="24"/>
              </w:rPr>
              <w:t>±5%</w:t>
            </w:r>
          </w:p>
          <w:p w14:paraId="79E3CBDE">
            <w:pPr>
              <w:widowControl/>
              <w:textAlignment w:val="top"/>
              <w:rPr>
                <w:rFonts w:ascii="宋体" w:hAnsi="宋体" w:cs="Times New Roman"/>
                <w:bCs/>
                <w:sz w:val="24"/>
                <w:szCs w:val="24"/>
              </w:rPr>
            </w:pPr>
            <w:r>
              <w:rPr>
                <w:rFonts w:hint="eastAsia" w:ascii="宋体" w:hAnsi="宋体" w:eastAsia="宋体" w:cs="Times New Roman"/>
                <w:bCs/>
                <w:sz w:val="24"/>
                <w:szCs w:val="24"/>
              </w:rPr>
              <w:t>宽度：公差±0.3mm</w:t>
            </w:r>
          </w:p>
          <w:p w14:paraId="33110C65">
            <w:pPr>
              <w:widowControl/>
              <w:textAlignment w:val="top"/>
              <w:rPr>
                <w:rFonts w:ascii="宋体" w:hAnsi="宋体" w:cs="Times New Roman"/>
                <w:bCs/>
                <w:sz w:val="24"/>
                <w:szCs w:val="24"/>
              </w:rPr>
            </w:pPr>
            <w:r>
              <w:rPr>
                <w:rFonts w:hint="eastAsia" w:ascii="宋体" w:hAnsi="宋体" w:eastAsia="宋体" w:cs="Times New Roman"/>
                <w:bCs/>
                <w:sz w:val="24"/>
                <w:szCs w:val="24"/>
              </w:rPr>
              <w:t>长度：公差±0.2%</w:t>
            </w:r>
          </w:p>
          <w:p w14:paraId="30154533">
            <w:pPr>
              <w:widowControl/>
              <w:textAlignment w:val="top"/>
              <w:rPr>
                <w:rFonts w:ascii="宋体" w:hAnsi="宋体" w:cs="Times New Roman"/>
                <w:bCs/>
                <w:sz w:val="24"/>
                <w:szCs w:val="24"/>
              </w:rPr>
            </w:pPr>
          </w:p>
          <w:p w14:paraId="3B0C8C72">
            <w:pPr>
              <w:widowControl/>
              <w:textAlignment w:val="top"/>
              <w:rPr>
                <w:rFonts w:ascii="宋体" w:hAnsi="宋体" w:cs="Times New Roman"/>
                <w:bCs/>
                <w:sz w:val="24"/>
                <w:szCs w:val="24"/>
              </w:rPr>
            </w:pPr>
            <w:r>
              <w:rPr>
                <w:rFonts w:hint="eastAsia" w:ascii="宋体" w:hAnsi="宋体" w:eastAsia="宋体" w:cs="Times New Roman"/>
                <w:bCs/>
                <w:sz w:val="24"/>
                <w:szCs w:val="24"/>
              </w:rPr>
              <w:t>三</w:t>
            </w:r>
            <w:r>
              <w:rPr>
                <w:rFonts w:ascii="宋体" w:hAnsi="宋体" w:eastAsia="宋体" w:cs="Times New Roman"/>
                <w:bCs/>
                <w:sz w:val="24"/>
                <w:szCs w:val="24"/>
              </w:rPr>
              <w:t>、胶粘性能</w:t>
            </w:r>
          </w:p>
          <w:p w14:paraId="6B74BFDD">
            <w:pPr>
              <w:widowControl/>
              <w:textAlignment w:val="top"/>
              <w:rPr>
                <w:rFonts w:ascii="宋体" w:hAnsi="宋体" w:cs="Times New Roman"/>
                <w:bCs/>
                <w:sz w:val="24"/>
                <w:szCs w:val="24"/>
              </w:rPr>
            </w:pPr>
            <w:r>
              <w:rPr>
                <w:rFonts w:ascii="宋体" w:hAnsi="宋体" w:eastAsia="宋体" w:cs="Times New Roman"/>
                <w:bCs/>
                <w:sz w:val="24"/>
                <w:szCs w:val="24"/>
              </w:rPr>
              <w:t>180°剥离力：</w:t>
            </w:r>
            <w:r>
              <w:rPr>
                <w:rFonts w:hint="eastAsia" w:ascii="宋体" w:hAnsi="宋体" w:eastAsia="宋体" w:cs="Times New Roman"/>
                <w:bCs/>
                <w:sz w:val="24"/>
                <w:szCs w:val="24"/>
              </w:rPr>
              <w:t>3-6g</w:t>
            </w:r>
            <w:r>
              <w:rPr>
                <w:rFonts w:ascii="宋体" w:hAnsi="宋体" w:eastAsia="宋体" w:cs="Times New Roman"/>
                <w:bCs/>
                <w:sz w:val="24"/>
                <w:szCs w:val="24"/>
              </w:rPr>
              <w:t>/25mm</w:t>
            </w:r>
          </w:p>
          <w:p w14:paraId="78F161F1">
            <w:pPr>
              <w:widowControl/>
              <w:textAlignment w:val="top"/>
              <w:rPr>
                <w:rFonts w:ascii="宋体" w:hAnsi="宋体" w:cs="Times New Roman"/>
                <w:bCs/>
                <w:sz w:val="24"/>
                <w:szCs w:val="24"/>
              </w:rPr>
            </w:pPr>
            <w:r>
              <w:rPr>
                <w:rFonts w:ascii="宋体" w:hAnsi="宋体" w:eastAsia="宋体" w:cs="Times New Roman"/>
                <w:bCs/>
                <w:sz w:val="24"/>
                <w:szCs w:val="24"/>
              </w:rPr>
              <w:t>初粘力：≥5#钢球</w:t>
            </w:r>
          </w:p>
          <w:p w14:paraId="5F4740AD">
            <w:pPr>
              <w:widowControl/>
              <w:textAlignment w:val="top"/>
              <w:rPr>
                <w:rFonts w:ascii="宋体" w:hAnsi="宋体" w:cs="Times New Roman"/>
                <w:bCs/>
                <w:sz w:val="24"/>
                <w:szCs w:val="24"/>
              </w:rPr>
            </w:pPr>
          </w:p>
          <w:p w14:paraId="4B891CDD">
            <w:pPr>
              <w:widowControl/>
              <w:textAlignment w:val="top"/>
              <w:rPr>
                <w:rFonts w:ascii="宋体" w:hAnsi="宋体" w:cs="Times New Roman"/>
                <w:bCs/>
                <w:sz w:val="24"/>
                <w:szCs w:val="24"/>
              </w:rPr>
            </w:pPr>
            <w:r>
              <w:rPr>
                <w:rFonts w:hint="eastAsia" w:ascii="宋体" w:hAnsi="宋体" w:eastAsia="宋体" w:cs="Times New Roman"/>
                <w:bCs/>
                <w:sz w:val="24"/>
                <w:szCs w:val="24"/>
              </w:rPr>
              <w:t>四、力学性能</w:t>
            </w:r>
          </w:p>
          <w:p w14:paraId="66253954">
            <w:pPr>
              <w:widowControl/>
              <w:textAlignment w:val="top"/>
              <w:rPr>
                <w:rFonts w:ascii="宋体" w:hAnsi="宋体" w:cs="Times New Roman"/>
                <w:bCs/>
                <w:sz w:val="24"/>
                <w:szCs w:val="24"/>
              </w:rPr>
            </w:pPr>
            <w:r>
              <w:rPr>
                <w:rFonts w:hint="eastAsia" w:ascii="宋体" w:hAnsi="宋体" w:eastAsia="宋体" w:cs="Times New Roman"/>
                <w:bCs/>
                <w:sz w:val="24"/>
                <w:szCs w:val="24"/>
              </w:rPr>
              <w:t>断裂伸长率：≥100%</w:t>
            </w:r>
          </w:p>
        </w:tc>
        <w:tc>
          <w:tcPr>
            <w:tcW w:w="363" w:type="pct"/>
            <w:vAlign w:val="center"/>
          </w:tcPr>
          <w:p w14:paraId="3D152CB3">
            <w:pPr>
              <w:widowControl/>
              <w:jc w:val="center"/>
              <w:textAlignment w:val="center"/>
              <w:rPr>
                <w:rFonts w:ascii="宋体" w:hAnsi="宋体"/>
                <w:color w:val="000000"/>
                <w:kern w:val="0"/>
                <w:sz w:val="24"/>
                <w:szCs w:val="24"/>
              </w:rPr>
            </w:pPr>
            <w:r>
              <w:rPr>
                <w:rFonts w:hint="eastAsia" w:ascii="宋体" w:hAnsi="宋体" w:eastAsia="宋体" w:cs="宋体"/>
                <w:color w:val="000000"/>
                <w:kern w:val="0"/>
                <w:sz w:val="24"/>
                <w:szCs w:val="24"/>
              </w:rPr>
              <w:t>米</w:t>
            </w:r>
          </w:p>
        </w:tc>
        <w:tc>
          <w:tcPr>
            <w:tcW w:w="455" w:type="pct"/>
            <w:vAlign w:val="center"/>
          </w:tcPr>
          <w:p w14:paraId="7060990E">
            <w:pPr>
              <w:widowControl/>
              <w:jc w:val="center"/>
              <w:textAlignment w:val="center"/>
              <w:rPr>
                <w:rFonts w:ascii="宋体" w:hAnsi="宋体"/>
                <w:color w:val="000000"/>
                <w:kern w:val="0"/>
                <w:sz w:val="24"/>
                <w:szCs w:val="24"/>
              </w:rPr>
            </w:pPr>
            <w:r>
              <w:rPr>
                <w:rFonts w:hint="eastAsia" w:ascii="宋体" w:hAnsi="宋体"/>
                <w:color w:val="000000"/>
                <w:kern w:val="0"/>
                <w:sz w:val="24"/>
                <w:szCs w:val="24"/>
              </w:rPr>
              <w:t>5</w:t>
            </w:r>
            <w:r>
              <w:rPr>
                <w:rFonts w:ascii="宋体" w:hAnsi="宋体"/>
                <w:color w:val="000000"/>
                <w:kern w:val="0"/>
                <w:sz w:val="24"/>
                <w:szCs w:val="24"/>
              </w:rPr>
              <w:t>0000</w:t>
            </w:r>
          </w:p>
        </w:tc>
        <w:tc>
          <w:tcPr>
            <w:tcW w:w="631" w:type="pct"/>
            <w:vAlign w:val="center"/>
          </w:tcPr>
          <w:p w14:paraId="44DC999C">
            <w:pPr>
              <w:widowControl/>
              <w:jc w:val="center"/>
              <w:textAlignment w:val="center"/>
              <w:rPr>
                <w:rFonts w:ascii="宋体" w:hAnsi="宋体"/>
                <w:color w:val="000000"/>
                <w:kern w:val="0"/>
                <w:sz w:val="24"/>
                <w:szCs w:val="24"/>
              </w:rPr>
            </w:pPr>
            <w:r>
              <w:rPr>
                <w:rFonts w:hint="eastAsia" w:ascii="宋体" w:hAnsi="宋体" w:eastAsia="宋体" w:cs="宋体"/>
                <w:color w:val="000000"/>
                <w:kern w:val="0"/>
                <w:sz w:val="24"/>
                <w:szCs w:val="24"/>
              </w:rPr>
              <w:t>否</w:t>
            </w:r>
          </w:p>
        </w:tc>
        <w:tc>
          <w:tcPr>
            <w:tcW w:w="574" w:type="pct"/>
            <w:vAlign w:val="center"/>
          </w:tcPr>
          <w:p w14:paraId="5DFDC252">
            <w:pPr>
              <w:widowControl/>
              <w:jc w:val="center"/>
              <w:textAlignment w:val="center"/>
              <w:rPr>
                <w:rFonts w:ascii="宋体" w:hAnsi="宋体"/>
                <w:color w:val="000000"/>
                <w:kern w:val="0"/>
                <w:sz w:val="24"/>
                <w:szCs w:val="24"/>
              </w:rPr>
            </w:pPr>
            <w:r>
              <w:rPr>
                <w:rFonts w:hint="eastAsia" w:ascii="宋体" w:hAnsi="宋体" w:eastAsia="宋体" w:cs="宋体"/>
                <w:color w:val="000000"/>
                <w:kern w:val="0"/>
                <w:sz w:val="24"/>
                <w:szCs w:val="24"/>
              </w:rPr>
              <w:t>否</w:t>
            </w:r>
          </w:p>
        </w:tc>
        <w:tc>
          <w:tcPr>
            <w:tcW w:w="741" w:type="pct"/>
            <w:vAlign w:val="center"/>
          </w:tcPr>
          <w:p w14:paraId="1C9222D1">
            <w:pPr>
              <w:widowControl/>
              <w:jc w:val="center"/>
              <w:textAlignment w:val="center"/>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3.4元/米</w:t>
            </w:r>
          </w:p>
        </w:tc>
      </w:tr>
    </w:tbl>
    <w:p w14:paraId="242FCE28">
      <w:pPr>
        <w:spacing w:line="360" w:lineRule="auto"/>
        <w:ind w:firstLine="482" w:firstLineChars="200"/>
        <w:rPr>
          <w:b/>
          <w:sz w:val="24"/>
        </w:rPr>
      </w:pPr>
      <w:r>
        <w:rPr>
          <w:rFonts w:hint="eastAsia"/>
          <w:b/>
          <w:sz w:val="24"/>
        </w:rPr>
        <w:t>八、商务要求</w:t>
      </w:r>
    </w:p>
    <w:p w14:paraId="46588106">
      <w:pPr>
        <w:spacing w:line="360" w:lineRule="auto"/>
        <w:ind w:firstLine="480" w:firstLineChars="200"/>
        <w:rPr>
          <w:bCs/>
          <w:sz w:val="24"/>
        </w:rPr>
      </w:pPr>
      <w:r>
        <w:rPr>
          <w:rFonts w:hint="eastAsia"/>
          <w:bCs/>
          <w:sz w:val="24"/>
        </w:rPr>
        <w:t>1、投标人须提供至少三年从事该项工作证明材料（如购销合同、发票等）。</w:t>
      </w:r>
    </w:p>
    <w:p w14:paraId="760E54C0">
      <w:pPr>
        <w:spacing w:line="360" w:lineRule="auto"/>
        <w:ind w:firstLine="640" w:firstLineChars="200"/>
        <w:rPr>
          <w:bCs/>
          <w:sz w:val="24"/>
        </w:rPr>
      </w:pPr>
      <w:r>
        <w:rPr>
          <w:rFonts w:hint="eastAsia" w:ascii="仿宋" w:hAnsi="仿宋" w:eastAsia="仿宋" w:cs="仿宋"/>
          <w:sz w:val="32"/>
          <w:szCs w:val="32"/>
        </w:rPr>
        <w:t>★</w:t>
      </w:r>
      <w:r>
        <w:rPr>
          <w:rFonts w:hint="eastAsia"/>
          <w:bCs/>
          <w:sz w:val="24"/>
        </w:rPr>
        <w:t>2.投标人需在本项目服务地点设有仓库，采购人有权进行现场考察。中标供应商在接到采购人货品常规采购通知后24小时内送货到采购人指定地点并提供配送到科室服务。若为采购人应急物资紧急供货，中标单位需保证包含节假日在内随时供应，2</w:t>
      </w:r>
      <w:r>
        <w:rPr>
          <w:rFonts w:hint="eastAsia" w:ascii="Times New Roman" w:hAnsi="Times New Roman" w:eastAsia="宋体" w:cs="Times New Roman"/>
          <w:bCs/>
          <w:sz w:val="24"/>
        </w:rPr>
        <w:t>小时内送达。</w:t>
      </w:r>
    </w:p>
    <w:p w14:paraId="133E3C6F">
      <w:pPr>
        <w:spacing w:line="360" w:lineRule="auto"/>
        <w:ind w:firstLine="480" w:firstLineChars="200"/>
        <w:rPr>
          <w:bCs/>
          <w:sz w:val="24"/>
        </w:rPr>
      </w:pPr>
      <w:r>
        <w:rPr>
          <w:rFonts w:hint="eastAsia"/>
          <w:bCs/>
          <w:sz w:val="24"/>
        </w:rPr>
        <w:t>3、</w:t>
      </w:r>
      <w:r>
        <w:rPr>
          <w:rFonts w:hint="eastAsia"/>
          <w:sz w:val="24"/>
        </w:rPr>
        <w:t>售后响应时间：在服务有效期内中标供应商每季度至少回访一次，有问题做到及时处理。出现质量问题时，响应时间为 2 小时，8小时内到达现场，24小时内需解决问题(包括节假日)。 问题未解决，技术服务人员不撤离使用现场。</w:t>
      </w:r>
      <w:r>
        <w:rPr>
          <w:rFonts w:hint="eastAsia"/>
          <w:bCs/>
          <w:sz w:val="24"/>
          <w:lang w:val="en-US" w:eastAsia="zh-CN"/>
        </w:rPr>
        <w:t>4</w:t>
      </w:r>
      <w:r>
        <w:rPr>
          <w:rFonts w:hint="eastAsia"/>
          <w:bCs/>
          <w:sz w:val="24"/>
        </w:rPr>
        <w:t xml:space="preserve">、投标人必须保证所投货物三证齐全，所投货物须为全新的、未使用过的，并在各方面均符合技术条件和文件中所规定的质量标准及规格、数量，如有问题，必需更换、补充。更换、补充等处理及相应的费用均由投标人自行负担。 </w:t>
      </w:r>
    </w:p>
    <w:p w14:paraId="0A62EAA5">
      <w:pPr>
        <w:spacing w:line="360" w:lineRule="auto"/>
        <w:ind w:firstLine="480" w:firstLineChars="200"/>
        <w:rPr>
          <w:bCs/>
          <w:sz w:val="24"/>
        </w:rPr>
      </w:pPr>
      <w:r>
        <w:rPr>
          <w:rFonts w:hint="eastAsia"/>
          <w:bCs/>
          <w:sz w:val="24"/>
          <w:lang w:val="en-US" w:eastAsia="zh-CN"/>
        </w:rPr>
        <w:t>5</w:t>
      </w:r>
      <w:r>
        <w:rPr>
          <w:rFonts w:hint="eastAsia"/>
          <w:bCs/>
          <w:sz w:val="24"/>
        </w:rPr>
        <w:t xml:space="preserve">、包装、运输和储存：投标人应负责所有产品的包装、运输，若因包装、运输过程发生产品的损毁，由投标人负完全责任。 </w:t>
      </w:r>
    </w:p>
    <w:p w14:paraId="4C0424CF">
      <w:pPr>
        <w:spacing w:line="360" w:lineRule="auto"/>
        <w:ind w:firstLine="480" w:firstLineChars="200"/>
        <w:rPr>
          <w:bCs/>
          <w:sz w:val="24"/>
        </w:rPr>
      </w:pPr>
      <w:r>
        <w:rPr>
          <w:rFonts w:hint="eastAsia"/>
          <w:bCs/>
          <w:sz w:val="24"/>
          <w:lang w:val="en-US" w:eastAsia="zh-CN"/>
        </w:rPr>
        <w:t>6</w:t>
      </w:r>
      <w:r>
        <w:rPr>
          <w:rFonts w:hint="eastAsia"/>
          <w:bCs/>
          <w:sz w:val="24"/>
        </w:rPr>
        <w:t>、投标人所提供物品需各种资料齐全，有特殊情况的要在投标书中注明。</w:t>
      </w:r>
    </w:p>
    <w:p w14:paraId="7FC4BBD5">
      <w:pPr>
        <w:spacing w:line="360" w:lineRule="auto"/>
        <w:ind w:firstLine="480" w:firstLineChars="200"/>
        <w:rPr>
          <w:rFonts w:hint="eastAsia"/>
          <w:bCs/>
          <w:sz w:val="24"/>
        </w:rPr>
      </w:pPr>
      <w:r>
        <w:rPr>
          <w:rFonts w:hint="eastAsia"/>
          <w:bCs/>
          <w:sz w:val="24"/>
          <w:lang w:val="en-US" w:eastAsia="zh-CN"/>
        </w:rPr>
        <w:t>7</w:t>
      </w:r>
      <w:r>
        <w:rPr>
          <w:rFonts w:hint="eastAsia"/>
          <w:bCs/>
          <w:sz w:val="24"/>
        </w:rPr>
        <w:t>、售后服务按照国家“三包”规定标准执行；售后服务承诺细致、满足用户需求，售后服务体系完备。</w:t>
      </w:r>
    </w:p>
    <w:p w14:paraId="4EC2B7C2">
      <w:pPr>
        <w:spacing w:line="360" w:lineRule="auto"/>
        <w:ind w:firstLine="480" w:firstLineChars="200"/>
        <w:rPr>
          <w:bCs/>
          <w:sz w:val="24"/>
        </w:rPr>
      </w:pPr>
      <w:r>
        <w:rPr>
          <w:rFonts w:hint="eastAsia"/>
          <w:bCs/>
          <w:sz w:val="24"/>
          <w:lang w:val="en-US" w:eastAsia="zh-CN"/>
        </w:rPr>
        <w:t>8、</w:t>
      </w:r>
      <w:r>
        <w:rPr>
          <w:rFonts w:hint="eastAsia"/>
          <w:bCs/>
          <w:sz w:val="24"/>
        </w:rPr>
        <w:t>中标单位在服务周期内必须严格遵守采购方安全生产、院感防控及涉密等方面的规定要求，如出现违反上述内容情况，采购方有权根据具体情况追究责任。</w:t>
      </w:r>
    </w:p>
    <w:p w14:paraId="386DCA02">
      <w:pPr>
        <w:spacing w:line="360" w:lineRule="auto"/>
        <w:ind w:firstLine="480" w:firstLineChars="200"/>
        <w:rPr>
          <w:bCs/>
          <w:sz w:val="24"/>
        </w:rPr>
      </w:pPr>
      <w:r>
        <w:rPr>
          <w:rFonts w:hint="eastAsia"/>
          <w:sz w:val="24"/>
          <w:lang w:val="en-US" w:eastAsia="zh-CN"/>
        </w:rPr>
        <w:t>9、</w:t>
      </w:r>
      <w:r>
        <w:rPr>
          <w:rFonts w:hint="eastAsia"/>
          <w:sz w:val="24"/>
        </w:rPr>
        <w:t>中标供应商必须严格遵守采购人各项廉洁从业政策规定，与采购人签署廉洁协议与廉洁承诺书等（具体情况以合同为准）。</w:t>
      </w:r>
    </w:p>
    <w:p w14:paraId="1F5837E1">
      <w:pPr>
        <w:spacing w:line="360" w:lineRule="auto"/>
        <w:ind w:firstLine="482" w:firstLineChars="200"/>
        <w:rPr>
          <w:b/>
          <w:sz w:val="24"/>
        </w:rPr>
      </w:pPr>
      <w:r>
        <w:rPr>
          <w:rFonts w:hint="eastAsia"/>
          <w:b/>
          <w:sz w:val="24"/>
        </w:rPr>
        <w:t>九、验收标准</w:t>
      </w:r>
    </w:p>
    <w:p w14:paraId="2C9E2A5B">
      <w:pPr>
        <w:autoSpaceDE w:val="0"/>
        <w:autoSpaceDN w:val="0"/>
        <w:adjustRightInd w:val="0"/>
        <w:spacing w:line="360" w:lineRule="auto"/>
        <w:ind w:firstLine="480" w:firstLineChars="200"/>
        <w:rPr>
          <w:sz w:val="24"/>
        </w:rPr>
      </w:pPr>
      <w:r>
        <w:rPr>
          <w:rFonts w:hint="eastAsia"/>
          <w:sz w:val="24"/>
        </w:rPr>
        <w:t xml:space="preserve">1、履约验收主体：天津中医药大学第二附属医院  </w:t>
      </w:r>
    </w:p>
    <w:p w14:paraId="01852E1D">
      <w:pPr>
        <w:autoSpaceDE w:val="0"/>
        <w:autoSpaceDN w:val="0"/>
        <w:adjustRightInd w:val="0"/>
        <w:spacing w:line="360" w:lineRule="auto"/>
        <w:ind w:firstLine="480" w:firstLineChars="200"/>
        <w:rPr>
          <w:sz w:val="24"/>
        </w:rPr>
      </w:pPr>
      <w:r>
        <w:rPr>
          <w:rFonts w:hint="eastAsia"/>
          <w:sz w:val="24"/>
        </w:rPr>
        <w:t>2、履约验收时间：货到现场后7日内完成验收。</w:t>
      </w:r>
    </w:p>
    <w:p w14:paraId="637636D6">
      <w:pPr>
        <w:autoSpaceDE w:val="0"/>
        <w:autoSpaceDN w:val="0"/>
        <w:adjustRightInd w:val="0"/>
        <w:spacing w:line="360" w:lineRule="auto"/>
        <w:ind w:firstLine="480" w:firstLineChars="200"/>
        <w:rPr>
          <w:sz w:val="24"/>
        </w:rPr>
      </w:pPr>
      <w:r>
        <w:rPr>
          <w:rFonts w:hint="eastAsia"/>
          <w:sz w:val="24"/>
        </w:rPr>
        <w:t>3、履约验收方式</w:t>
      </w:r>
      <w:bookmarkStart w:id="0" w:name="_GoBack"/>
      <w:bookmarkEnd w:id="0"/>
    </w:p>
    <w:p w14:paraId="3F72180D">
      <w:pPr>
        <w:autoSpaceDE w:val="0"/>
        <w:autoSpaceDN w:val="0"/>
        <w:adjustRightInd w:val="0"/>
        <w:spacing w:line="360" w:lineRule="auto"/>
        <w:ind w:firstLine="480" w:firstLineChars="200"/>
        <w:rPr>
          <w:sz w:val="24"/>
        </w:rPr>
      </w:pPr>
      <w:r>
        <w:rPr>
          <w:rFonts w:hint="eastAsia"/>
          <w:sz w:val="24"/>
        </w:rPr>
        <w:t xml:space="preserve"> 供应商履约完成，采购方按采购合同约定验收条件进行一次性验收。</w:t>
      </w:r>
    </w:p>
    <w:p w14:paraId="08174B2B">
      <w:pPr>
        <w:autoSpaceDE w:val="0"/>
        <w:autoSpaceDN w:val="0"/>
        <w:adjustRightInd w:val="0"/>
        <w:spacing w:line="360" w:lineRule="auto"/>
        <w:ind w:firstLine="480" w:firstLineChars="200"/>
        <w:rPr>
          <w:sz w:val="24"/>
        </w:rPr>
      </w:pPr>
      <w:r>
        <w:rPr>
          <w:rFonts w:hint="eastAsia"/>
          <w:sz w:val="24"/>
        </w:rPr>
        <w:t>4、履约验收程序</w:t>
      </w:r>
    </w:p>
    <w:p w14:paraId="0D50991B">
      <w:pPr>
        <w:autoSpaceDE w:val="0"/>
        <w:autoSpaceDN w:val="0"/>
        <w:adjustRightInd w:val="0"/>
        <w:spacing w:line="360" w:lineRule="auto"/>
        <w:ind w:firstLine="480" w:firstLineChars="200"/>
        <w:rPr>
          <w:sz w:val="24"/>
        </w:rPr>
      </w:pPr>
      <w:r>
        <w:rPr>
          <w:rFonts w:hint="eastAsia"/>
          <w:sz w:val="24"/>
        </w:rPr>
        <w:t>（1）中标供应商须按采购方要求提供货物样品并提供产品合格资质和生产厂家授权书。</w:t>
      </w:r>
    </w:p>
    <w:p w14:paraId="7345C525">
      <w:pPr>
        <w:autoSpaceDE w:val="0"/>
        <w:autoSpaceDN w:val="0"/>
        <w:adjustRightInd w:val="0"/>
        <w:spacing w:line="360" w:lineRule="auto"/>
        <w:ind w:firstLine="480" w:firstLineChars="200"/>
        <w:rPr>
          <w:sz w:val="24"/>
        </w:rPr>
      </w:pPr>
      <w:r>
        <w:rPr>
          <w:rFonts w:hint="eastAsia"/>
          <w:sz w:val="24"/>
        </w:rPr>
        <w:t>（2）产品到达交付地点后，由采购方使用科室进行到货验收，清点和检查产品的数量和外观质量。外观质量不合格的，采购方有权拒收。</w:t>
      </w:r>
    </w:p>
    <w:p w14:paraId="3FC9D33F">
      <w:pPr>
        <w:autoSpaceDE w:val="0"/>
        <w:autoSpaceDN w:val="0"/>
        <w:adjustRightInd w:val="0"/>
        <w:spacing w:line="360" w:lineRule="auto"/>
        <w:ind w:firstLine="480" w:firstLineChars="200"/>
        <w:rPr>
          <w:sz w:val="24"/>
        </w:rPr>
      </w:pPr>
      <w:r>
        <w:rPr>
          <w:rFonts w:hint="eastAsia"/>
          <w:sz w:val="24"/>
        </w:rPr>
        <w:t xml:space="preserve">（3）货物验收过程中如发现产品有任何损坏、缺陷、短少或不符合合同中规定的质量标准和规范时，中标供应商必须无条件退货、更换，并承担运输费、装卸费、保费等相关费用，因退货或更换造成采购方损失的，中标供应商应承担相应责任。 </w:t>
      </w:r>
    </w:p>
    <w:p w14:paraId="2103B3B0">
      <w:pPr>
        <w:autoSpaceDE w:val="0"/>
        <w:autoSpaceDN w:val="0"/>
        <w:adjustRightInd w:val="0"/>
        <w:spacing w:line="360" w:lineRule="auto"/>
        <w:ind w:firstLine="480" w:firstLineChars="200"/>
        <w:rPr>
          <w:sz w:val="24"/>
        </w:rPr>
      </w:pPr>
      <w:r>
        <w:rPr>
          <w:rFonts w:hint="eastAsia"/>
          <w:sz w:val="24"/>
        </w:rPr>
        <w:t>5、履约验收内容</w:t>
      </w:r>
    </w:p>
    <w:p w14:paraId="56F38830">
      <w:pPr>
        <w:autoSpaceDE w:val="0"/>
        <w:autoSpaceDN w:val="0"/>
        <w:adjustRightInd w:val="0"/>
        <w:spacing w:line="360" w:lineRule="auto"/>
        <w:ind w:firstLine="480" w:firstLineChars="200"/>
        <w:rPr>
          <w:sz w:val="24"/>
        </w:rPr>
      </w:pPr>
      <w:r>
        <w:rPr>
          <w:rFonts w:hint="eastAsia"/>
          <w:sz w:val="24"/>
        </w:rPr>
        <w:t>根据采购合同、招标文件、投标文件等要求技术参数的履约情况进行验收。甲方应加强对中标供应商的履约管理，并按照采购合同约定，及时向中标供应商支付采购资金。对于中标供应商违反采购合同约定的行为，采购方应当及时处理，依法追究其违约责任。</w:t>
      </w:r>
    </w:p>
    <w:p w14:paraId="3D77603A">
      <w:pPr>
        <w:autoSpaceDE w:val="0"/>
        <w:autoSpaceDN w:val="0"/>
        <w:adjustRightInd w:val="0"/>
        <w:spacing w:line="360" w:lineRule="auto"/>
        <w:ind w:firstLine="480" w:firstLineChars="200"/>
        <w:rPr>
          <w:sz w:val="24"/>
        </w:rPr>
      </w:pPr>
      <w:r>
        <w:rPr>
          <w:rFonts w:hint="eastAsia"/>
          <w:sz w:val="24"/>
        </w:rPr>
        <w:t>6、履约验收验收标准</w:t>
      </w:r>
    </w:p>
    <w:p w14:paraId="0062FE7F">
      <w:pPr>
        <w:spacing w:line="360" w:lineRule="auto"/>
        <w:ind w:firstLine="480" w:firstLineChars="200"/>
        <w:rPr>
          <w:bCs/>
          <w:sz w:val="24"/>
        </w:rPr>
      </w:pPr>
      <w:r>
        <w:rPr>
          <w:rFonts w:hint="eastAsia"/>
          <w:sz w:val="24"/>
        </w:rPr>
        <w:t>按照采购合同的约定和现行国家标准、行业标准以及企业标准对每一项技术、服务、安全标准的履约情况进行确认。采购方有权根据项目需要对货物是否满足技术参数进行验收。必要时，采购方有权邀请参加本项目的其他供应商或者第三方机构参与验收。参与验收的供应商或者第三方机构的意见作为验收书的参考资料一并存档。验收结束后，应当出具验收书，列明各项标准的验收情况及项目总体评价，由验收双方共同签署。</w:t>
      </w:r>
    </w:p>
    <w:p w14:paraId="37F1208B">
      <w:pPr>
        <w:pStyle w:val="3"/>
      </w:pPr>
    </w:p>
    <w:sectPr>
      <w:headerReference r:id="rId3" w:type="default"/>
      <w:pgSz w:w="11906" w:h="16838"/>
      <w:pgMar w:top="1440" w:right="1463" w:bottom="1440" w:left="146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altName w:val="DejaVu Math TeX Gyre"/>
    <w:panose1 w:val="02040503050406030204"/>
    <w:charset w:val="00"/>
    <w:family w:val="roman"/>
    <w:pitch w:val="default"/>
    <w:sig w:usb0="00000000" w:usb1="00000000" w:usb2="02000000" w:usb3="00000000" w:csb0="2000019F" w:csb1="00000000"/>
  </w:font>
  <w:font w:name=".......">
    <w:altName w:val="Segoe Print"/>
    <w:panose1 w:val="00000000000000000000"/>
    <w:charset w:val="00"/>
    <w:family w:val="auto"/>
    <w:pitch w:val="default"/>
    <w:sig w:usb0="00000000" w:usb1="00000000" w:usb2="00000000" w:usb3="00000000" w:csb0="0000019F" w:csb1="00000000"/>
  </w:font>
  <w:font w:name="Segoe Print">
    <w:panose1 w:val="02000600000000000000"/>
    <w:charset w:val="00"/>
    <w:family w:val="auto"/>
    <w:pitch w:val="default"/>
    <w:sig w:usb0="0000028F" w:usb1="00000000" w:usb2="00000000" w:usb3="00000000" w:csb0="2000009F" w:csb1="47010000"/>
  </w:font>
  <w:font w:name="DejaVu Math TeX Gyre">
    <w:panose1 w:val="02000503000000000000"/>
    <w:charset w:val="00"/>
    <w:family w:val="auto"/>
    <w:pitch w:val="default"/>
    <w:sig w:usb0="A10000EF" w:usb1="4201F9EE" w:usb2="02000000" w:usb3="00000000" w:csb0="60000193" w:csb1="0DD40000"/>
  </w:font>
  <w:font w:name="Segoe UI">
    <w:panose1 w:val="020B0502040204020203"/>
    <w:charset w:val="00"/>
    <w:family w:val="auto"/>
    <w:pitch w:val="default"/>
    <w:sig w:usb0="E4002EFF" w:usb1="C000E47F" w:usb2="00000009" w:usb3="00000000" w:csb0="200001FF" w:csb1="00000000"/>
  </w:font>
  <w:font w:name="KSOF29153A75">
    <w:panose1 w:val="020B0502040204020203"/>
    <w:charset w:val="00"/>
    <w:family w:val="auto"/>
    <w:pitch w:val="default"/>
    <w:sig w:usb0="00000001" w:usb1="00000000" w:usb2="00000000" w:usb3="00000000" w:csb0="0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86300B">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JhZGFkNjQ3MzcwYmJjYzk4YzY4ZjdiMmM2NDkxMmYifQ=="/>
  </w:docVars>
  <w:rsids>
    <w:rsidRoot w:val="00031C61"/>
    <w:rsid w:val="00001B8B"/>
    <w:rsid w:val="0000216E"/>
    <w:rsid w:val="00002352"/>
    <w:rsid w:val="00003657"/>
    <w:rsid w:val="000038E8"/>
    <w:rsid w:val="00005094"/>
    <w:rsid w:val="00006D00"/>
    <w:rsid w:val="0001194C"/>
    <w:rsid w:val="00013B17"/>
    <w:rsid w:val="00015375"/>
    <w:rsid w:val="0001758C"/>
    <w:rsid w:val="000201A0"/>
    <w:rsid w:val="00022D3B"/>
    <w:rsid w:val="00030970"/>
    <w:rsid w:val="00031C61"/>
    <w:rsid w:val="00041BF5"/>
    <w:rsid w:val="000444D7"/>
    <w:rsid w:val="00045BF6"/>
    <w:rsid w:val="00046889"/>
    <w:rsid w:val="0005044D"/>
    <w:rsid w:val="00050AA1"/>
    <w:rsid w:val="00051F77"/>
    <w:rsid w:val="00057DDC"/>
    <w:rsid w:val="000627E1"/>
    <w:rsid w:val="00063D78"/>
    <w:rsid w:val="000703A0"/>
    <w:rsid w:val="00071EC9"/>
    <w:rsid w:val="00076FCA"/>
    <w:rsid w:val="0008024F"/>
    <w:rsid w:val="00080359"/>
    <w:rsid w:val="00083740"/>
    <w:rsid w:val="00092A75"/>
    <w:rsid w:val="0009311F"/>
    <w:rsid w:val="0009370A"/>
    <w:rsid w:val="00094C75"/>
    <w:rsid w:val="00094F15"/>
    <w:rsid w:val="000B1A4B"/>
    <w:rsid w:val="000B2CDB"/>
    <w:rsid w:val="000B734C"/>
    <w:rsid w:val="000C1ADC"/>
    <w:rsid w:val="000D0805"/>
    <w:rsid w:val="000D38A2"/>
    <w:rsid w:val="000D44A1"/>
    <w:rsid w:val="000D6032"/>
    <w:rsid w:val="000E0478"/>
    <w:rsid w:val="000E07EF"/>
    <w:rsid w:val="000E2220"/>
    <w:rsid w:val="000E2233"/>
    <w:rsid w:val="000E3C68"/>
    <w:rsid w:val="000E44C8"/>
    <w:rsid w:val="000E671F"/>
    <w:rsid w:val="000E7A2E"/>
    <w:rsid w:val="000F0530"/>
    <w:rsid w:val="000F1A81"/>
    <w:rsid w:val="000F30FE"/>
    <w:rsid w:val="00100461"/>
    <w:rsid w:val="001036BC"/>
    <w:rsid w:val="001051F6"/>
    <w:rsid w:val="001056C3"/>
    <w:rsid w:val="001060F0"/>
    <w:rsid w:val="0011064C"/>
    <w:rsid w:val="001120E6"/>
    <w:rsid w:val="001122CC"/>
    <w:rsid w:val="001165BB"/>
    <w:rsid w:val="00116633"/>
    <w:rsid w:val="00120AAE"/>
    <w:rsid w:val="00121F6A"/>
    <w:rsid w:val="00122150"/>
    <w:rsid w:val="00122935"/>
    <w:rsid w:val="00123373"/>
    <w:rsid w:val="00125DE1"/>
    <w:rsid w:val="00126C91"/>
    <w:rsid w:val="0012730D"/>
    <w:rsid w:val="00127EAB"/>
    <w:rsid w:val="00136ECC"/>
    <w:rsid w:val="00152E1D"/>
    <w:rsid w:val="001544A2"/>
    <w:rsid w:val="00155C92"/>
    <w:rsid w:val="00174A4C"/>
    <w:rsid w:val="00180BE8"/>
    <w:rsid w:val="00190FD0"/>
    <w:rsid w:val="00191F7E"/>
    <w:rsid w:val="001926A7"/>
    <w:rsid w:val="00193E52"/>
    <w:rsid w:val="00193EC1"/>
    <w:rsid w:val="001951BF"/>
    <w:rsid w:val="001A046D"/>
    <w:rsid w:val="001A104F"/>
    <w:rsid w:val="001A7F3A"/>
    <w:rsid w:val="001B081C"/>
    <w:rsid w:val="001B18FD"/>
    <w:rsid w:val="001B301B"/>
    <w:rsid w:val="001B481E"/>
    <w:rsid w:val="001C1284"/>
    <w:rsid w:val="001C1BDB"/>
    <w:rsid w:val="001C3DF0"/>
    <w:rsid w:val="001D1283"/>
    <w:rsid w:val="001D1896"/>
    <w:rsid w:val="001D2506"/>
    <w:rsid w:val="001D479B"/>
    <w:rsid w:val="001D76E3"/>
    <w:rsid w:val="001E28E1"/>
    <w:rsid w:val="001E58DB"/>
    <w:rsid w:val="001F4BBD"/>
    <w:rsid w:val="001F4EC2"/>
    <w:rsid w:val="001F515D"/>
    <w:rsid w:val="001F7CAE"/>
    <w:rsid w:val="00210D3C"/>
    <w:rsid w:val="00212361"/>
    <w:rsid w:val="002150E9"/>
    <w:rsid w:val="0021669B"/>
    <w:rsid w:val="00217D44"/>
    <w:rsid w:val="00220D5C"/>
    <w:rsid w:val="0022195C"/>
    <w:rsid w:val="00223AEA"/>
    <w:rsid w:val="00230F0A"/>
    <w:rsid w:val="00236F00"/>
    <w:rsid w:val="002376CD"/>
    <w:rsid w:val="00237D39"/>
    <w:rsid w:val="00240385"/>
    <w:rsid w:val="00241B2B"/>
    <w:rsid w:val="00242782"/>
    <w:rsid w:val="00244518"/>
    <w:rsid w:val="002471CA"/>
    <w:rsid w:val="00260A52"/>
    <w:rsid w:val="00275B64"/>
    <w:rsid w:val="00280225"/>
    <w:rsid w:val="00282BBF"/>
    <w:rsid w:val="00282ED3"/>
    <w:rsid w:val="00287A46"/>
    <w:rsid w:val="00290FB7"/>
    <w:rsid w:val="00291A3B"/>
    <w:rsid w:val="00293CF5"/>
    <w:rsid w:val="002947BF"/>
    <w:rsid w:val="00295191"/>
    <w:rsid w:val="002973B8"/>
    <w:rsid w:val="002A1F70"/>
    <w:rsid w:val="002A271F"/>
    <w:rsid w:val="002B119D"/>
    <w:rsid w:val="002B2539"/>
    <w:rsid w:val="002B4A0D"/>
    <w:rsid w:val="002B4CD9"/>
    <w:rsid w:val="002B7699"/>
    <w:rsid w:val="002C0B90"/>
    <w:rsid w:val="002C234F"/>
    <w:rsid w:val="002C4326"/>
    <w:rsid w:val="002D0435"/>
    <w:rsid w:val="002D321A"/>
    <w:rsid w:val="002D6819"/>
    <w:rsid w:val="002E0923"/>
    <w:rsid w:val="002E1FC9"/>
    <w:rsid w:val="002E7356"/>
    <w:rsid w:val="002F434F"/>
    <w:rsid w:val="00303FAE"/>
    <w:rsid w:val="003050A1"/>
    <w:rsid w:val="00306929"/>
    <w:rsid w:val="00313CA9"/>
    <w:rsid w:val="0032710F"/>
    <w:rsid w:val="0033139D"/>
    <w:rsid w:val="00333FC6"/>
    <w:rsid w:val="00336927"/>
    <w:rsid w:val="00336DE2"/>
    <w:rsid w:val="00342B8A"/>
    <w:rsid w:val="0034577B"/>
    <w:rsid w:val="0035319D"/>
    <w:rsid w:val="00353785"/>
    <w:rsid w:val="003568CB"/>
    <w:rsid w:val="00357422"/>
    <w:rsid w:val="00360F99"/>
    <w:rsid w:val="0036147C"/>
    <w:rsid w:val="0036260A"/>
    <w:rsid w:val="003665E0"/>
    <w:rsid w:val="0036780E"/>
    <w:rsid w:val="003704F7"/>
    <w:rsid w:val="003769CC"/>
    <w:rsid w:val="00380297"/>
    <w:rsid w:val="003805D9"/>
    <w:rsid w:val="00380F7A"/>
    <w:rsid w:val="00382C29"/>
    <w:rsid w:val="00384893"/>
    <w:rsid w:val="00385874"/>
    <w:rsid w:val="00390CDD"/>
    <w:rsid w:val="00391ECA"/>
    <w:rsid w:val="00391F49"/>
    <w:rsid w:val="00396063"/>
    <w:rsid w:val="003967A8"/>
    <w:rsid w:val="00397026"/>
    <w:rsid w:val="003A0D3D"/>
    <w:rsid w:val="003A55FF"/>
    <w:rsid w:val="003A65E6"/>
    <w:rsid w:val="003A6CD4"/>
    <w:rsid w:val="003B4524"/>
    <w:rsid w:val="003C17DB"/>
    <w:rsid w:val="003C58A3"/>
    <w:rsid w:val="003D1B15"/>
    <w:rsid w:val="003D2DFD"/>
    <w:rsid w:val="003D39DC"/>
    <w:rsid w:val="003E095C"/>
    <w:rsid w:val="003E0C6F"/>
    <w:rsid w:val="003E2F2B"/>
    <w:rsid w:val="003E5ABE"/>
    <w:rsid w:val="003E6494"/>
    <w:rsid w:val="003F0967"/>
    <w:rsid w:val="003F532A"/>
    <w:rsid w:val="00400170"/>
    <w:rsid w:val="004018C4"/>
    <w:rsid w:val="0040222C"/>
    <w:rsid w:val="00402754"/>
    <w:rsid w:val="004059A2"/>
    <w:rsid w:val="004112E2"/>
    <w:rsid w:val="004117D8"/>
    <w:rsid w:val="00411B82"/>
    <w:rsid w:val="004132DE"/>
    <w:rsid w:val="004142F2"/>
    <w:rsid w:val="00415870"/>
    <w:rsid w:val="00430711"/>
    <w:rsid w:val="00436F93"/>
    <w:rsid w:val="00440243"/>
    <w:rsid w:val="00440831"/>
    <w:rsid w:val="00445645"/>
    <w:rsid w:val="004521B7"/>
    <w:rsid w:val="00453386"/>
    <w:rsid w:val="0045467C"/>
    <w:rsid w:val="00455EC2"/>
    <w:rsid w:val="00461841"/>
    <w:rsid w:val="00473C5A"/>
    <w:rsid w:val="00473F4B"/>
    <w:rsid w:val="0047559B"/>
    <w:rsid w:val="0047782E"/>
    <w:rsid w:val="00480445"/>
    <w:rsid w:val="004809D5"/>
    <w:rsid w:val="00486F3D"/>
    <w:rsid w:val="00496036"/>
    <w:rsid w:val="004962C8"/>
    <w:rsid w:val="0049798F"/>
    <w:rsid w:val="004A4CE5"/>
    <w:rsid w:val="004B186E"/>
    <w:rsid w:val="004B19FC"/>
    <w:rsid w:val="004B3E0D"/>
    <w:rsid w:val="004B4FE8"/>
    <w:rsid w:val="004B52B9"/>
    <w:rsid w:val="004B7049"/>
    <w:rsid w:val="004C3024"/>
    <w:rsid w:val="004C4AD1"/>
    <w:rsid w:val="004C4DF0"/>
    <w:rsid w:val="004C6BD7"/>
    <w:rsid w:val="004D1E00"/>
    <w:rsid w:val="004D5166"/>
    <w:rsid w:val="004E28B6"/>
    <w:rsid w:val="004E56A9"/>
    <w:rsid w:val="004E6457"/>
    <w:rsid w:val="004E74F6"/>
    <w:rsid w:val="00503D0D"/>
    <w:rsid w:val="00511004"/>
    <w:rsid w:val="00514118"/>
    <w:rsid w:val="00514C01"/>
    <w:rsid w:val="00514E6A"/>
    <w:rsid w:val="00515FF6"/>
    <w:rsid w:val="00516FBC"/>
    <w:rsid w:val="00525CA0"/>
    <w:rsid w:val="005319D2"/>
    <w:rsid w:val="00532E4C"/>
    <w:rsid w:val="00544A8E"/>
    <w:rsid w:val="00544E25"/>
    <w:rsid w:val="005456D4"/>
    <w:rsid w:val="005514AE"/>
    <w:rsid w:val="005550E4"/>
    <w:rsid w:val="00557AFE"/>
    <w:rsid w:val="00560F76"/>
    <w:rsid w:val="00563FF1"/>
    <w:rsid w:val="005648BB"/>
    <w:rsid w:val="00564B22"/>
    <w:rsid w:val="00564DF5"/>
    <w:rsid w:val="00567151"/>
    <w:rsid w:val="005729F8"/>
    <w:rsid w:val="0057455D"/>
    <w:rsid w:val="0057493E"/>
    <w:rsid w:val="00574A18"/>
    <w:rsid w:val="00576F03"/>
    <w:rsid w:val="005800B4"/>
    <w:rsid w:val="005837B1"/>
    <w:rsid w:val="005848F8"/>
    <w:rsid w:val="00584E8F"/>
    <w:rsid w:val="005861AA"/>
    <w:rsid w:val="00587A03"/>
    <w:rsid w:val="005939C7"/>
    <w:rsid w:val="0059476A"/>
    <w:rsid w:val="005A00D4"/>
    <w:rsid w:val="005A16ED"/>
    <w:rsid w:val="005A1A7B"/>
    <w:rsid w:val="005A1BC2"/>
    <w:rsid w:val="005A26BD"/>
    <w:rsid w:val="005A3D66"/>
    <w:rsid w:val="005A569E"/>
    <w:rsid w:val="005A72F1"/>
    <w:rsid w:val="005B2210"/>
    <w:rsid w:val="005B234B"/>
    <w:rsid w:val="005B6133"/>
    <w:rsid w:val="005B6C15"/>
    <w:rsid w:val="005B795C"/>
    <w:rsid w:val="005C50C9"/>
    <w:rsid w:val="005C6174"/>
    <w:rsid w:val="005C6DE2"/>
    <w:rsid w:val="005C7371"/>
    <w:rsid w:val="005D1D26"/>
    <w:rsid w:val="005D53DD"/>
    <w:rsid w:val="005D75AC"/>
    <w:rsid w:val="005E04F9"/>
    <w:rsid w:val="005E222B"/>
    <w:rsid w:val="005E399B"/>
    <w:rsid w:val="005E426C"/>
    <w:rsid w:val="005F0F64"/>
    <w:rsid w:val="005F612F"/>
    <w:rsid w:val="006028F8"/>
    <w:rsid w:val="006110CB"/>
    <w:rsid w:val="00612F24"/>
    <w:rsid w:val="006132AF"/>
    <w:rsid w:val="00620633"/>
    <w:rsid w:val="0062201E"/>
    <w:rsid w:val="00623663"/>
    <w:rsid w:val="00625D96"/>
    <w:rsid w:val="00627027"/>
    <w:rsid w:val="006310C5"/>
    <w:rsid w:val="00632FE0"/>
    <w:rsid w:val="0063682D"/>
    <w:rsid w:val="00645F87"/>
    <w:rsid w:val="00654ED3"/>
    <w:rsid w:val="00657B36"/>
    <w:rsid w:val="006614EA"/>
    <w:rsid w:val="00666A13"/>
    <w:rsid w:val="00683109"/>
    <w:rsid w:val="00684B38"/>
    <w:rsid w:val="00685CA9"/>
    <w:rsid w:val="00694F76"/>
    <w:rsid w:val="00697FC8"/>
    <w:rsid w:val="006A576A"/>
    <w:rsid w:val="006A6667"/>
    <w:rsid w:val="006B1A26"/>
    <w:rsid w:val="006B1D92"/>
    <w:rsid w:val="006B2397"/>
    <w:rsid w:val="006B26AC"/>
    <w:rsid w:val="006C3800"/>
    <w:rsid w:val="006C3A7D"/>
    <w:rsid w:val="006D03B5"/>
    <w:rsid w:val="006D162E"/>
    <w:rsid w:val="006D359D"/>
    <w:rsid w:val="006D3D29"/>
    <w:rsid w:val="006D5191"/>
    <w:rsid w:val="006D7335"/>
    <w:rsid w:val="006D7346"/>
    <w:rsid w:val="006E0283"/>
    <w:rsid w:val="006E204E"/>
    <w:rsid w:val="006E789F"/>
    <w:rsid w:val="006F2CD9"/>
    <w:rsid w:val="006F2CDB"/>
    <w:rsid w:val="006F3002"/>
    <w:rsid w:val="006F625B"/>
    <w:rsid w:val="006F6CC2"/>
    <w:rsid w:val="0070603C"/>
    <w:rsid w:val="0070731E"/>
    <w:rsid w:val="00710E09"/>
    <w:rsid w:val="00712BC9"/>
    <w:rsid w:val="00714F5F"/>
    <w:rsid w:val="007161D7"/>
    <w:rsid w:val="007166FA"/>
    <w:rsid w:val="00722DFD"/>
    <w:rsid w:val="00730EB1"/>
    <w:rsid w:val="00732ED6"/>
    <w:rsid w:val="00733968"/>
    <w:rsid w:val="00737820"/>
    <w:rsid w:val="00742AD4"/>
    <w:rsid w:val="00744234"/>
    <w:rsid w:val="00747CCE"/>
    <w:rsid w:val="00750A0C"/>
    <w:rsid w:val="007652AA"/>
    <w:rsid w:val="00770A17"/>
    <w:rsid w:val="007726B1"/>
    <w:rsid w:val="0077484E"/>
    <w:rsid w:val="00775FB7"/>
    <w:rsid w:val="007866D0"/>
    <w:rsid w:val="00787BD4"/>
    <w:rsid w:val="00793489"/>
    <w:rsid w:val="0079568D"/>
    <w:rsid w:val="007A61A3"/>
    <w:rsid w:val="007A7DEB"/>
    <w:rsid w:val="007B24A3"/>
    <w:rsid w:val="007B2D67"/>
    <w:rsid w:val="007B3330"/>
    <w:rsid w:val="007D2855"/>
    <w:rsid w:val="007D46D4"/>
    <w:rsid w:val="007E12C1"/>
    <w:rsid w:val="007E4E77"/>
    <w:rsid w:val="007E5D1E"/>
    <w:rsid w:val="007F15C3"/>
    <w:rsid w:val="007F396B"/>
    <w:rsid w:val="007F68BC"/>
    <w:rsid w:val="007F74CB"/>
    <w:rsid w:val="00800AF6"/>
    <w:rsid w:val="00804D8A"/>
    <w:rsid w:val="008066C0"/>
    <w:rsid w:val="00810443"/>
    <w:rsid w:val="008174A7"/>
    <w:rsid w:val="008214A3"/>
    <w:rsid w:val="008303EC"/>
    <w:rsid w:val="0083510A"/>
    <w:rsid w:val="00852A16"/>
    <w:rsid w:val="00852FEE"/>
    <w:rsid w:val="008540A7"/>
    <w:rsid w:val="00855249"/>
    <w:rsid w:val="0086102B"/>
    <w:rsid w:val="0086504C"/>
    <w:rsid w:val="00865BF8"/>
    <w:rsid w:val="00865D6D"/>
    <w:rsid w:val="008662BA"/>
    <w:rsid w:val="00866461"/>
    <w:rsid w:val="00867135"/>
    <w:rsid w:val="00873B36"/>
    <w:rsid w:val="00881774"/>
    <w:rsid w:val="008830BC"/>
    <w:rsid w:val="008843E0"/>
    <w:rsid w:val="00894277"/>
    <w:rsid w:val="00894514"/>
    <w:rsid w:val="008A7C76"/>
    <w:rsid w:val="008A7E45"/>
    <w:rsid w:val="008B0D4C"/>
    <w:rsid w:val="008C0A91"/>
    <w:rsid w:val="008C19A9"/>
    <w:rsid w:val="008C3213"/>
    <w:rsid w:val="008C3F15"/>
    <w:rsid w:val="008C4824"/>
    <w:rsid w:val="008C5637"/>
    <w:rsid w:val="008D722D"/>
    <w:rsid w:val="008D74FB"/>
    <w:rsid w:val="008E1096"/>
    <w:rsid w:val="008E259E"/>
    <w:rsid w:val="008F0138"/>
    <w:rsid w:val="008F24FE"/>
    <w:rsid w:val="008F4BCF"/>
    <w:rsid w:val="00904C68"/>
    <w:rsid w:val="00905659"/>
    <w:rsid w:val="0090625E"/>
    <w:rsid w:val="009070F4"/>
    <w:rsid w:val="00914426"/>
    <w:rsid w:val="00916888"/>
    <w:rsid w:val="00917D5D"/>
    <w:rsid w:val="0092251F"/>
    <w:rsid w:val="00923DCC"/>
    <w:rsid w:val="00923F79"/>
    <w:rsid w:val="009303E6"/>
    <w:rsid w:val="00932E09"/>
    <w:rsid w:val="00933B1F"/>
    <w:rsid w:val="00935951"/>
    <w:rsid w:val="0094106F"/>
    <w:rsid w:val="0094121C"/>
    <w:rsid w:val="00953106"/>
    <w:rsid w:val="00954FDC"/>
    <w:rsid w:val="00956B4C"/>
    <w:rsid w:val="00956E1F"/>
    <w:rsid w:val="00957EFA"/>
    <w:rsid w:val="00960D79"/>
    <w:rsid w:val="00961AAB"/>
    <w:rsid w:val="00962357"/>
    <w:rsid w:val="00964C8F"/>
    <w:rsid w:val="00966E97"/>
    <w:rsid w:val="00976792"/>
    <w:rsid w:val="00981C48"/>
    <w:rsid w:val="00982FCA"/>
    <w:rsid w:val="009848D4"/>
    <w:rsid w:val="0099019D"/>
    <w:rsid w:val="0099244B"/>
    <w:rsid w:val="009A16E4"/>
    <w:rsid w:val="009A3AD3"/>
    <w:rsid w:val="009B148C"/>
    <w:rsid w:val="009B2944"/>
    <w:rsid w:val="009B4D85"/>
    <w:rsid w:val="009C0448"/>
    <w:rsid w:val="009C08E7"/>
    <w:rsid w:val="009C0915"/>
    <w:rsid w:val="009C2EC5"/>
    <w:rsid w:val="009D1F4B"/>
    <w:rsid w:val="009D2C69"/>
    <w:rsid w:val="009D6ED3"/>
    <w:rsid w:val="009E1653"/>
    <w:rsid w:val="009E1B63"/>
    <w:rsid w:val="009E1FFC"/>
    <w:rsid w:val="009E6933"/>
    <w:rsid w:val="009E71FE"/>
    <w:rsid w:val="009E72D8"/>
    <w:rsid w:val="009E7EC6"/>
    <w:rsid w:val="009F4CCC"/>
    <w:rsid w:val="009F632F"/>
    <w:rsid w:val="00A02F20"/>
    <w:rsid w:val="00A0501B"/>
    <w:rsid w:val="00A124FC"/>
    <w:rsid w:val="00A14DF7"/>
    <w:rsid w:val="00A24104"/>
    <w:rsid w:val="00A24AA1"/>
    <w:rsid w:val="00A253D7"/>
    <w:rsid w:val="00A32309"/>
    <w:rsid w:val="00A37DA3"/>
    <w:rsid w:val="00A52D2C"/>
    <w:rsid w:val="00A534BC"/>
    <w:rsid w:val="00A54E6A"/>
    <w:rsid w:val="00A55AA3"/>
    <w:rsid w:val="00A57C85"/>
    <w:rsid w:val="00A602C4"/>
    <w:rsid w:val="00A63A56"/>
    <w:rsid w:val="00A63F1F"/>
    <w:rsid w:val="00A642CC"/>
    <w:rsid w:val="00A659BB"/>
    <w:rsid w:val="00A744F3"/>
    <w:rsid w:val="00A754FB"/>
    <w:rsid w:val="00A82C8D"/>
    <w:rsid w:val="00A843CC"/>
    <w:rsid w:val="00A84BF4"/>
    <w:rsid w:val="00A84C49"/>
    <w:rsid w:val="00A85126"/>
    <w:rsid w:val="00A85D1B"/>
    <w:rsid w:val="00A85DC6"/>
    <w:rsid w:val="00A951F1"/>
    <w:rsid w:val="00A95D7F"/>
    <w:rsid w:val="00A9766D"/>
    <w:rsid w:val="00AB2D2D"/>
    <w:rsid w:val="00AB34DC"/>
    <w:rsid w:val="00AB4688"/>
    <w:rsid w:val="00AC14FF"/>
    <w:rsid w:val="00AC3586"/>
    <w:rsid w:val="00AD0B4B"/>
    <w:rsid w:val="00AD3A8C"/>
    <w:rsid w:val="00AD5A32"/>
    <w:rsid w:val="00AD6D85"/>
    <w:rsid w:val="00AD7DF9"/>
    <w:rsid w:val="00AE1C81"/>
    <w:rsid w:val="00AE4430"/>
    <w:rsid w:val="00AE5C2D"/>
    <w:rsid w:val="00AE5C2E"/>
    <w:rsid w:val="00AF61CF"/>
    <w:rsid w:val="00AF74B0"/>
    <w:rsid w:val="00B03186"/>
    <w:rsid w:val="00B0502A"/>
    <w:rsid w:val="00B05776"/>
    <w:rsid w:val="00B066A8"/>
    <w:rsid w:val="00B12B6E"/>
    <w:rsid w:val="00B13614"/>
    <w:rsid w:val="00B20018"/>
    <w:rsid w:val="00B26000"/>
    <w:rsid w:val="00B2768B"/>
    <w:rsid w:val="00B30405"/>
    <w:rsid w:val="00B30EF8"/>
    <w:rsid w:val="00B36100"/>
    <w:rsid w:val="00B37D40"/>
    <w:rsid w:val="00B415FD"/>
    <w:rsid w:val="00B4181B"/>
    <w:rsid w:val="00B41C78"/>
    <w:rsid w:val="00B44300"/>
    <w:rsid w:val="00B46D4F"/>
    <w:rsid w:val="00B56BB3"/>
    <w:rsid w:val="00B57CF3"/>
    <w:rsid w:val="00B60520"/>
    <w:rsid w:val="00B642AA"/>
    <w:rsid w:val="00B64B90"/>
    <w:rsid w:val="00B65280"/>
    <w:rsid w:val="00B66786"/>
    <w:rsid w:val="00B70FE0"/>
    <w:rsid w:val="00B74AF0"/>
    <w:rsid w:val="00B7562B"/>
    <w:rsid w:val="00B80E1B"/>
    <w:rsid w:val="00B82819"/>
    <w:rsid w:val="00B86B17"/>
    <w:rsid w:val="00B90C85"/>
    <w:rsid w:val="00B90D97"/>
    <w:rsid w:val="00B910A3"/>
    <w:rsid w:val="00B915D0"/>
    <w:rsid w:val="00B9619B"/>
    <w:rsid w:val="00BA2649"/>
    <w:rsid w:val="00BA4713"/>
    <w:rsid w:val="00BA7D08"/>
    <w:rsid w:val="00BB2FF8"/>
    <w:rsid w:val="00BB4DC7"/>
    <w:rsid w:val="00BC26CD"/>
    <w:rsid w:val="00BC4386"/>
    <w:rsid w:val="00BD12F3"/>
    <w:rsid w:val="00BD4F7A"/>
    <w:rsid w:val="00BD5E4D"/>
    <w:rsid w:val="00BE1938"/>
    <w:rsid w:val="00BE54C4"/>
    <w:rsid w:val="00BF0E23"/>
    <w:rsid w:val="00BF4694"/>
    <w:rsid w:val="00C00A72"/>
    <w:rsid w:val="00C02430"/>
    <w:rsid w:val="00C02C79"/>
    <w:rsid w:val="00C04A73"/>
    <w:rsid w:val="00C0537F"/>
    <w:rsid w:val="00C11572"/>
    <w:rsid w:val="00C16522"/>
    <w:rsid w:val="00C16D83"/>
    <w:rsid w:val="00C17FB8"/>
    <w:rsid w:val="00C25664"/>
    <w:rsid w:val="00C25CAB"/>
    <w:rsid w:val="00C312AA"/>
    <w:rsid w:val="00C328BA"/>
    <w:rsid w:val="00C36338"/>
    <w:rsid w:val="00C3722E"/>
    <w:rsid w:val="00C4607B"/>
    <w:rsid w:val="00C4645F"/>
    <w:rsid w:val="00C469CA"/>
    <w:rsid w:val="00C51D76"/>
    <w:rsid w:val="00C541A8"/>
    <w:rsid w:val="00C57869"/>
    <w:rsid w:val="00C6079D"/>
    <w:rsid w:val="00C6121A"/>
    <w:rsid w:val="00C633DD"/>
    <w:rsid w:val="00C65D92"/>
    <w:rsid w:val="00C665DF"/>
    <w:rsid w:val="00C745B3"/>
    <w:rsid w:val="00C802E1"/>
    <w:rsid w:val="00C82827"/>
    <w:rsid w:val="00C82D5E"/>
    <w:rsid w:val="00C83547"/>
    <w:rsid w:val="00C83684"/>
    <w:rsid w:val="00C855D0"/>
    <w:rsid w:val="00C918B3"/>
    <w:rsid w:val="00C93205"/>
    <w:rsid w:val="00C95C3A"/>
    <w:rsid w:val="00CA2135"/>
    <w:rsid w:val="00CB4228"/>
    <w:rsid w:val="00CB60C1"/>
    <w:rsid w:val="00CB7C26"/>
    <w:rsid w:val="00CC1932"/>
    <w:rsid w:val="00CC539E"/>
    <w:rsid w:val="00CD2002"/>
    <w:rsid w:val="00CD3E76"/>
    <w:rsid w:val="00CD524B"/>
    <w:rsid w:val="00CE0D06"/>
    <w:rsid w:val="00CE0F57"/>
    <w:rsid w:val="00CE166B"/>
    <w:rsid w:val="00CE22D2"/>
    <w:rsid w:val="00CE6C23"/>
    <w:rsid w:val="00CF5507"/>
    <w:rsid w:val="00CF6098"/>
    <w:rsid w:val="00D00A02"/>
    <w:rsid w:val="00D06D28"/>
    <w:rsid w:val="00D0716A"/>
    <w:rsid w:val="00D11CA5"/>
    <w:rsid w:val="00D1256D"/>
    <w:rsid w:val="00D13B1F"/>
    <w:rsid w:val="00D21C4E"/>
    <w:rsid w:val="00D253D6"/>
    <w:rsid w:val="00D26323"/>
    <w:rsid w:val="00D30673"/>
    <w:rsid w:val="00D31C5E"/>
    <w:rsid w:val="00D34F2B"/>
    <w:rsid w:val="00D40813"/>
    <w:rsid w:val="00D42607"/>
    <w:rsid w:val="00D44340"/>
    <w:rsid w:val="00D4704E"/>
    <w:rsid w:val="00D478DD"/>
    <w:rsid w:val="00D5144A"/>
    <w:rsid w:val="00D514FA"/>
    <w:rsid w:val="00D52CBB"/>
    <w:rsid w:val="00D55405"/>
    <w:rsid w:val="00D555E6"/>
    <w:rsid w:val="00D56605"/>
    <w:rsid w:val="00D615A9"/>
    <w:rsid w:val="00D61B3B"/>
    <w:rsid w:val="00D72814"/>
    <w:rsid w:val="00D72F8F"/>
    <w:rsid w:val="00D73BE8"/>
    <w:rsid w:val="00D75EFD"/>
    <w:rsid w:val="00D772A5"/>
    <w:rsid w:val="00D8113F"/>
    <w:rsid w:val="00D86BBB"/>
    <w:rsid w:val="00D90E4B"/>
    <w:rsid w:val="00D9219E"/>
    <w:rsid w:val="00D93812"/>
    <w:rsid w:val="00D94014"/>
    <w:rsid w:val="00D95586"/>
    <w:rsid w:val="00D95980"/>
    <w:rsid w:val="00D96517"/>
    <w:rsid w:val="00DA3BA6"/>
    <w:rsid w:val="00DA3ED5"/>
    <w:rsid w:val="00DB0EF0"/>
    <w:rsid w:val="00DB15D3"/>
    <w:rsid w:val="00DB39E9"/>
    <w:rsid w:val="00DB5DC5"/>
    <w:rsid w:val="00DB6FFC"/>
    <w:rsid w:val="00DC320C"/>
    <w:rsid w:val="00DD03A8"/>
    <w:rsid w:val="00DD69AA"/>
    <w:rsid w:val="00DE1C15"/>
    <w:rsid w:val="00DE6F40"/>
    <w:rsid w:val="00DF0350"/>
    <w:rsid w:val="00DF30C8"/>
    <w:rsid w:val="00DF4DBF"/>
    <w:rsid w:val="00DF5E05"/>
    <w:rsid w:val="00E01359"/>
    <w:rsid w:val="00E02003"/>
    <w:rsid w:val="00E02235"/>
    <w:rsid w:val="00E02D77"/>
    <w:rsid w:val="00E02E1F"/>
    <w:rsid w:val="00E058BE"/>
    <w:rsid w:val="00E05910"/>
    <w:rsid w:val="00E23576"/>
    <w:rsid w:val="00E23DF7"/>
    <w:rsid w:val="00E243BD"/>
    <w:rsid w:val="00E25134"/>
    <w:rsid w:val="00E25152"/>
    <w:rsid w:val="00E31218"/>
    <w:rsid w:val="00E32D98"/>
    <w:rsid w:val="00E3390F"/>
    <w:rsid w:val="00E36D79"/>
    <w:rsid w:val="00E42CD1"/>
    <w:rsid w:val="00E47F9C"/>
    <w:rsid w:val="00E502BE"/>
    <w:rsid w:val="00E5077A"/>
    <w:rsid w:val="00E50998"/>
    <w:rsid w:val="00E550CA"/>
    <w:rsid w:val="00E571BB"/>
    <w:rsid w:val="00E5763E"/>
    <w:rsid w:val="00E60B40"/>
    <w:rsid w:val="00E636F0"/>
    <w:rsid w:val="00E63A07"/>
    <w:rsid w:val="00E67663"/>
    <w:rsid w:val="00E7122A"/>
    <w:rsid w:val="00E745DB"/>
    <w:rsid w:val="00E74E5A"/>
    <w:rsid w:val="00E776E6"/>
    <w:rsid w:val="00E77A30"/>
    <w:rsid w:val="00E81A83"/>
    <w:rsid w:val="00E846EA"/>
    <w:rsid w:val="00E8796C"/>
    <w:rsid w:val="00E90274"/>
    <w:rsid w:val="00EA485D"/>
    <w:rsid w:val="00EA5B72"/>
    <w:rsid w:val="00EB0F94"/>
    <w:rsid w:val="00EB178D"/>
    <w:rsid w:val="00EB576B"/>
    <w:rsid w:val="00EB6720"/>
    <w:rsid w:val="00EB69A5"/>
    <w:rsid w:val="00EC059B"/>
    <w:rsid w:val="00EC09CE"/>
    <w:rsid w:val="00EC0C95"/>
    <w:rsid w:val="00EC1AF9"/>
    <w:rsid w:val="00EC6642"/>
    <w:rsid w:val="00ED0984"/>
    <w:rsid w:val="00ED1AB4"/>
    <w:rsid w:val="00ED5875"/>
    <w:rsid w:val="00ED74E1"/>
    <w:rsid w:val="00EE005D"/>
    <w:rsid w:val="00EF28BA"/>
    <w:rsid w:val="00EF4744"/>
    <w:rsid w:val="00EF5114"/>
    <w:rsid w:val="00F059B8"/>
    <w:rsid w:val="00F102DB"/>
    <w:rsid w:val="00F21683"/>
    <w:rsid w:val="00F21CED"/>
    <w:rsid w:val="00F226CB"/>
    <w:rsid w:val="00F22752"/>
    <w:rsid w:val="00F2393A"/>
    <w:rsid w:val="00F30F43"/>
    <w:rsid w:val="00F37358"/>
    <w:rsid w:val="00F40E78"/>
    <w:rsid w:val="00F426E0"/>
    <w:rsid w:val="00F44DC5"/>
    <w:rsid w:val="00F511FF"/>
    <w:rsid w:val="00F5179B"/>
    <w:rsid w:val="00F532AA"/>
    <w:rsid w:val="00F60723"/>
    <w:rsid w:val="00F62F22"/>
    <w:rsid w:val="00F64946"/>
    <w:rsid w:val="00F728EE"/>
    <w:rsid w:val="00F734DD"/>
    <w:rsid w:val="00F7552C"/>
    <w:rsid w:val="00F80E40"/>
    <w:rsid w:val="00F81091"/>
    <w:rsid w:val="00F86534"/>
    <w:rsid w:val="00F9337C"/>
    <w:rsid w:val="00F935A1"/>
    <w:rsid w:val="00FA6E85"/>
    <w:rsid w:val="00FA760A"/>
    <w:rsid w:val="00FB76CC"/>
    <w:rsid w:val="00FC00DF"/>
    <w:rsid w:val="00FC6BE9"/>
    <w:rsid w:val="00FD13E3"/>
    <w:rsid w:val="00FD2D6D"/>
    <w:rsid w:val="00FE0857"/>
    <w:rsid w:val="00FE4354"/>
    <w:rsid w:val="00FE64CF"/>
    <w:rsid w:val="00FE6960"/>
    <w:rsid w:val="00FF06C7"/>
    <w:rsid w:val="00FF14C8"/>
    <w:rsid w:val="00FF77BC"/>
    <w:rsid w:val="00FF7C14"/>
    <w:rsid w:val="02BC1AB4"/>
    <w:rsid w:val="0314369E"/>
    <w:rsid w:val="032905C1"/>
    <w:rsid w:val="04A570A7"/>
    <w:rsid w:val="09385036"/>
    <w:rsid w:val="0F185C94"/>
    <w:rsid w:val="11E84674"/>
    <w:rsid w:val="124F7574"/>
    <w:rsid w:val="138504FC"/>
    <w:rsid w:val="13EB49B6"/>
    <w:rsid w:val="15DE6F4E"/>
    <w:rsid w:val="16D054FA"/>
    <w:rsid w:val="1DE44DE9"/>
    <w:rsid w:val="1E0C3E01"/>
    <w:rsid w:val="264058D7"/>
    <w:rsid w:val="26E81772"/>
    <w:rsid w:val="2BFF63EA"/>
    <w:rsid w:val="30E65C6B"/>
    <w:rsid w:val="33E660E2"/>
    <w:rsid w:val="3A627393"/>
    <w:rsid w:val="3DF311A1"/>
    <w:rsid w:val="3E4B1116"/>
    <w:rsid w:val="41B265A3"/>
    <w:rsid w:val="458C4D3B"/>
    <w:rsid w:val="4E170B2A"/>
    <w:rsid w:val="4E6D65CB"/>
    <w:rsid w:val="50AB1F29"/>
    <w:rsid w:val="537459A4"/>
    <w:rsid w:val="59145458"/>
    <w:rsid w:val="5E5D6E1D"/>
    <w:rsid w:val="65E61F0C"/>
    <w:rsid w:val="6E623FDB"/>
    <w:rsid w:val="70F17526"/>
    <w:rsid w:val="72DD62CC"/>
    <w:rsid w:val="77444DFC"/>
    <w:rsid w:val="781603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3"/>
    <w:autoRedefine/>
    <w:semiHidden/>
    <w:unhideWhenUsed/>
    <w:qFormat/>
    <w:uiPriority w:val="99"/>
    <w:pPr>
      <w:jc w:val="left"/>
    </w:pPr>
    <w:rPr>
      <w:rFonts w:ascii="Times New Roman" w:hAnsi="Times New Roman" w:eastAsia="宋体" w:cs="Times New Roman"/>
      <w:szCs w:val="20"/>
    </w:rPr>
  </w:style>
  <w:style w:type="paragraph" w:styleId="3">
    <w:name w:val="Body Text"/>
    <w:basedOn w:val="1"/>
    <w:next w:val="1"/>
    <w:autoRedefine/>
    <w:qFormat/>
    <w:uiPriority w:val="99"/>
    <w:pPr>
      <w:autoSpaceDE w:val="0"/>
      <w:autoSpaceDN w:val="0"/>
      <w:jc w:val="center"/>
    </w:pPr>
    <w:rPr>
      <w:rFonts w:ascii="仿宋_GB2312"/>
      <w:kern w:val="0"/>
      <w:sz w:val="24"/>
    </w:rPr>
  </w:style>
  <w:style w:type="paragraph" w:styleId="4">
    <w:name w:val="Balloon Text"/>
    <w:basedOn w:val="1"/>
    <w:link w:val="14"/>
    <w:autoRedefine/>
    <w:semiHidden/>
    <w:unhideWhenUsed/>
    <w:qFormat/>
    <w:uiPriority w:val="99"/>
    <w:rPr>
      <w:sz w:val="18"/>
      <w:szCs w:val="18"/>
    </w:rPr>
  </w:style>
  <w:style w:type="paragraph" w:styleId="5">
    <w:name w:val="footer"/>
    <w:basedOn w:val="1"/>
    <w:link w:val="16"/>
    <w:autoRedefine/>
    <w:unhideWhenUsed/>
    <w:qFormat/>
    <w:uiPriority w:val="99"/>
    <w:pPr>
      <w:tabs>
        <w:tab w:val="center" w:pos="4153"/>
        <w:tab w:val="right" w:pos="8306"/>
      </w:tabs>
      <w:snapToGrid w:val="0"/>
      <w:jc w:val="left"/>
    </w:pPr>
    <w:rPr>
      <w:sz w:val="18"/>
      <w:szCs w:val="18"/>
    </w:rPr>
  </w:style>
  <w:style w:type="paragraph" w:styleId="6">
    <w:name w:val="header"/>
    <w:basedOn w:val="1"/>
    <w:link w:val="15"/>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Title"/>
    <w:basedOn w:val="1"/>
    <w:next w:val="1"/>
    <w:link w:val="12"/>
    <w:autoRedefine/>
    <w:qFormat/>
    <w:uiPriority w:val="10"/>
    <w:pPr>
      <w:spacing w:before="240" w:after="60"/>
      <w:jc w:val="center"/>
      <w:outlineLvl w:val="0"/>
    </w:pPr>
    <w:rPr>
      <w:rFonts w:eastAsia="宋体" w:asciiTheme="majorHAnsi" w:hAnsiTheme="majorHAnsi" w:cstheme="majorBidi"/>
      <w:b/>
      <w:bCs/>
      <w:sz w:val="32"/>
      <w:szCs w:val="32"/>
    </w:rPr>
  </w:style>
  <w:style w:type="table" w:styleId="9">
    <w:name w:val="Table Grid"/>
    <w:basedOn w:val="8"/>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annotation reference"/>
    <w:basedOn w:val="10"/>
    <w:autoRedefine/>
    <w:semiHidden/>
    <w:unhideWhenUsed/>
    <w:qFormat/>
    <w:uiPriority w:val="99"/>
    <w:rPr>
      <w:sz w:val="21"/>
      <w:szCs w:val="21"/>
    </w:rPr>
  </w:style>
  <w:style w:type="character" w:customStyle="1" w:styleId="12">
    <w:name w:val="标题 Char"/>
    <w:basedOn w:val="10"/>
    <w:link w:val="7"/>
    <w:autoRedefine/>
    <w:qFormat/>
    <w:uiPriority w:val="10"/>
    <w:rPr>
      <w:rFonts w:eastAsia="宋体" w:asciiTheme="majorHAnsi" w:hAnsiTheme="majorHAnsi" w:cstheme="majorBidi"/>
      <w:b/>
      <w:bCs/>
      <w:sz w:val="32"/>
      <w:szCs w:val="32"/>
    </w:rPr>
  </w:style>
  <w:style w:type="character" w:customStyle="1" w:styleId="13">
    <w:name w:val="批注文字 Char"/>
    <w:basedOn w:val="10"/>
    <w:link w:val="2"/>
    <w:autoRedefine/>
    <w:semiHidden/>
    <w:qFormat/>
    <w:uiPriority w:val="99"/>
    <w:rPr>
      <w:rFonts w:ascii="Times New Roman" w:hAnsi="Times New Roman" w:eastAsia="宋体" w:cs="Times New Roman"/>
      <w:szCs w:val="20"/>
    </w:rPr>
  </w:style>
  <w:style w:type="character" w:customStyle="1" w:styleId="14">
    <w:name w:val="批注框文本 Char"/>
    <w:basedOn w:val="10"/>
    <w:link w:val="4"/>
    <w:autoRedefine/>
    <w:semiHidden/>
    <w:qFormat/>
    <w:uiPriority w:val="99"/>
    <w:rPr>
      <w:sz w:val="18"/>
      <w:szCs w:val="18"/>
    </w:rPr>
  </w:style>
  <w:style w:type="character" w:customStyle="1" w:styleId="15">
    <w:name w:val="页眉 Char"/>
    <w:basedOn w:val="10"/>
    <w:link w:val="6"/>
    <w:autoRedefine/>
    <w:qFormat/>
    <w:uiPriority w:val="99"/>
    <w:rPr>
      <w:sz w:val="18"/>
      <w:szCs w:val="18"/>
    </w:rPr>
  </w:style>
  <w:style w:type="character" w:customStyle="1" w:styleId="16">
    <w:name w:val="页脚 Char"/>
    <w:basedOn w:val="10"/>
    <w:link w:val="5"/>
    <w:autoRedefine/>
    <w:qFormat/>
    <w:uiPriority w:val="99"/>
    <w:rPr>
      <w:sz w:val="18"/>
      <w:szCs w:val="18"/>
    </w:rPr>
  </w:style>
  <w:style w:type="paragraph" w:customStyle="1" w:styleId="17">
    <w:name w:val="Default"/>
    <w:qFormat/>
    <w:uiPriority w:val="0"/>
    <w:pPr>
      <w:widowControl w:val="0"/>
      <w:autoSpaceDE w:val="0"/>
      <w:autoSpaceDN w:val="0"/>
      <w:adjustRightInd w:val="0"/>
    </w:pPr>
    <w:rPr>
      <w:rFonts w:ascii="......." w:hAnsi="Calibri" w:eastAsia="......." w:cs="......."/>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5</Pages>
  <Words>762</Words>
  <Characters>775</Characters>
  <Lines>20</Lines>
  <Paragraphs>5</Paragraphs>
  <TotalTime>1</TotalTime>
  <ScaleCrop>false</ScaleCrop>
  <LinksUpToDate>false</LinksUpToDate>
  <CharactersWithSpaces>775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2021-06-11T03:24:00Z</dcterms:created>
  <dc:creator>未定义</dc:creator>
  <cp:lastModifiedBy>二附院-采购办</cp:lastModifiedBy>
  <cp:lastPrinted>2024-05-22T07:34:00Z</cp:lastPrinted>
  <dcterms:modified xsi:type="dcterms:W3CDTF">2026-07-07T02:56:24Z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BC6F629EEB1A4F6096BC958F0C47261B_12</vt:lpwstr>
  </property>
  <property fmtid="{D5CDD505-2E9C-101B-9397-08002B2CF9AE}" pid="4" name="KSOTemplateDocerSaveRecord">
    <vt:lpwstr>eyJoZGlkIjoiYjAzYmRiYWJlODk3Mjk2MDcxZGE2NDE3ZDFkNzIyNWQiLCJ1c2VySWQiOiIyOTAxNzcyODgifQ==</vt:lpwstr>
  </property>
</Properties>
</file>